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43" w:rsidRDefault="00CB38A2" w:rsidP="00BE7D43">
      <w:pPr>
        <w:pStyle w:val="TechnicalBlock"/>
        <w:ind w:left="-1134" w:right="-1134"/>
      </w:pPr>
      <w:bookmarkStart w:id="0" w:name="DW_BM_COVERPAGE"/>
      <w:bookmarkStart w:id="1" w:name="LW_BM_COVERPAGE"/>
      <w:bookmarkStart w:id="2" w:name="_GoBack"/>
      <w:bookmarkEnd w:id="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1164/21.&#10;Subject Codes: STAT 22 FIN 647.&#10;Heading: NOTE DE TRANSMISSION.&#10;Originator: Pour la secrétaire générale de la Commission européenne, Madame Martine DEPREZ, directrice.&#10;Recipient: Monsieur Jeppe TRANHOLM-MIKKELSEN, secrétaire général du Conseil de l'Union européenne.&#10;Subject: RAPPORT DE LA COMMISSION AU PARLEMENT EUROPÉEN ET AU CONSEIL Rapport de la Commission au Parlement européen et au Conseil  évaluant le fonctionnement du statut des fonctionnaires et du régime applicable  aux autres agents de l'Union européenne.&#10;Commission Document Number: COM(2021) 439 final.&#10;Preceeding Document Number: Not Set.&#10;Location: Bruxelles.&#10;Date: 5 août 2021.&#10;Interinstitutional Files: Not Set.&#10;Institutional Framework: Conseil de l'Union européenne.&#10;Language: FR.&#10;Distribution Code: PUBLIC.&#10;GUID: 5629485344312081857_0" style="width:568.5pt;height:408.75pt">
            <v:imagedata r:id="rId9" o:title=""/>
          </v:shape>
        </w:pict>
      </w:r>
      <w:bookmarkEnd w:id="0"/>
    </w:p>
    <w:p w:rsidR="00BE7D43" w:rsidRDefault="00BE7D43" w:rsidP="00BE7D43">
      <w:pPr>
        <w:pStyle w:val="EntText"/>
        <w:spacing w:before="480"/>
      </w:pPr>
      <w:r w:rsidRPr="00BE7D43">
        <w:t xml:space="preserve">Les délégations trouveront ci-joint le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BE7D43">
        <w:instrText>COM(2021) 439 final</w:instrText>
      </w:r>
      <w:r>
        <w:instrText xml:space="preserve">" </w:instrText>
      </w:r>
      <w:r>
        <w:fldChar w:fldCharType="separate"/>
      </w:r>
      <w:r w:rsidRPr="00BE7D43">
        <w:t>COM(2021) 439 final</w:t>
      </w:r>
      <w:r>
        <w:fldChar w:fldCharType="end"/>
      </w:r>
      <w:r w:rsidRPr="00BE7D43">
        <w:t>.</w:t>
      </w:r>
    </w:p>
    <w:p w:rsidR="00BE7D43" w:rsidRDefault="00BE7D43" w:rsidP="00BE7D43">
      <w:pPr>
        <w:pStyle w:val="Lignefinal"/>
      </w:pPr>
    </w:p>
    <w:p w:rsidR="00BE7D43" w:rsidRDefault="00BE7D43" w:rsidP="00BE7D43">
      <w:pPr>
        <w:pStyle w:val="pj"/>
        <w:spacing w:before="120"/>
      </w:pPr>
      <w:r w:rsidRPr="00BE7D43">
        <w:t xml:space="preserve">p.j.: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BE7D43">
        <w:instrText>COM(2021) 439 final</w:instrText>
      </w:r>
      <w:r>
        <w:instrText xml:space="preserve">" </w:instrText>
      </w:r>
      <w:r>
        <w:fldChar w:fldCharType="separate"/>
      </w:r>
      <w:r w:rsidRPr="00BE7D43">
        <w:t>COM(2021) 439 final</w:t>
      </w:r>
      <w:r>
        <w:fldChar w:fldCharType="end"/>
      </w:r>
    </w:p>
    <w:p w:rsidR="00BE7D43" w:rsidRDefault="00BE7D43" w:rsidP="00BE7D43">
      <w:pPr>
        <w:rPr>
          <w:noProof/>
        </w:rPr>
        <w:sectPr w:rsidR="00BE7D43" w:rsidSect="00833771">
          <w:headerReference w:type="default" r:id="rId10"/>
          <w:footerReference w:type="default" r:id="rId11"/>
          <w:headerReference w:type="first" r:id="rId12"/>
          <w:footerReference w:type="first" r:id="rId13"/>
          <w:pgSz w:w="11906" w:h="16838"/>
          <w:pgMar w:top="624" w:right="1134" w:bottom="1134" w:left="1134" w:header="567" w:footer="567" w:gutter="0"/>
          <w:pgNumType w:start="0"/>
          <w:cols w:space="720"/>
          <w:titlePg/>
          <w:docGrid w:linePitch="326"/>
        </w:sectPr>
      </w:pPr>
    </w:p>
    <w:p w:rsidR="00F8725A" w:rsidRDefault="001514C9">
      <w:pPr>
        <w:pStyle w:val="Pagedecouverture"/>
        <w:rPr>
          <w:noProof/>
        </w:rPr>
      </w:pPr>
      <w:r>
        <w:rPr>
          <w:noProof/>
        </w:rPr>
        <w:lastRenderedPageBreak/>
        <w:pict>
          <v:shape id="_x0000_i1026" type="#_x0000_t75" alt="6949C0B4-6D55-4455-983B-3199F2F9C6CB" style="width:455.25pt;height:324pt">
            <v:imagedata r:id="rId14" o:title=""/>
          </v:shape>
        </w:pict>
      </w:r>
    </w:p>
    <w:p w:rsidR="00F8725A" w:rsidRDefault="00F8725A">
      <w:pPr>
        <w:rPr>
          <w:noProof/>
        </w:rPr>
        <w:sectPr w:rsidR="00F8725A">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26"/>
        </w:sectPr>
      </w:pPr>
      <w:bookmarkStart w:id="4" w:name="_Ref66357778"/>
      <w:bookmarkEnd w:id="1"/>
    </w:p>
    <w:p w:rsidR="00F8725A" w:rsidRDefault="00BE7D43">
      <w:pPr>
        <w:pStyle w:val="Heading1"/>
        <w:rPr>
          <w:noProof/>
        </w:rPr>
      </w:pPr>
      <w:r>
        <w:rPr>
          <w:noProof/>
        </w:rPr>
        <w:lastRenderedPageBreak/>
        <w:t>Introduction</w:t>
      </w:r>
      <w:bookmarkEnd w:id="4"/>
    </w:p>
    <w:p w:rsidR="00F8725A" w:rsidRDefault="00BE7D43">
      <w:pPr>
        <w:pStyle w:val="Text1"/>
        <w:ind w:left="0"/>
        <w:rPr>
          <w:noProof/>
        </w:rPr>
      </w:pPr>
      <w:r>
        <w:rPr>
          <w:noProof/>
        </w:rPr>
        <w:t>L’article 113 du statut des fonctionnaires (le «statut») et l’article 142 </w:t>
      </w:r>
      <w:r>
        <w:rPr>
          <w:i/>
          <w:noProof/>
        </w:rPr>
        <w:t>bis</w:t>
      </w:r>
      <w:r>
        <w:rPr>
          <w:noProof/>
        </w:rPr>
        <w:t xml:space="preserve"> du régime applicable aux autres agents (RAA) prévoient que la Commission présente au Parlement européen et au Conseil un rapport sur le fonctionnement du statut et du RAA. Le présent rapport met en œuvre les dispositions susmentionnées. </w:t>
      </w:r>
    </w:p>
    <w:p w:rsidR="00F8725A" w:rsidRDefault="00BE7D43">
      <w:pPr>
        <w:pStyle w:val="Heading1"/>
        <w:rPr>
          <w:noProof/>
        </w:rPr>
      </w:pPr>
      <w:r>
        <w:rPr>
          <w:noProof/>
        </w:rPr>
        <w:t>Portée du présent rapport</w:t>
      </w:r>
    </w:p>
    <w:p w:rsidR="00F8725A" w:rsidRDefault="00BE7D43">
      <w:pPr>
        <w:pStyle w:val="Text1"/>
        <w:ind w:left="0"/>
        <w:rPr>
          <w:i/>
          <w:iCs/>
          <w:noProof/>
        </w:rPr>
      </w:pPr>
      <w:r>
        <w:rPr>
          <w:noProof/>
        </w:rPr>
        <w:t>Le présent rapport porte sur la période comprise entre le 1</w:t>
      </w:r>
      <w:r>
        <w:rPr>
          <w:noProof/>
          <w:vertAlign w:val="superscript"/>
        </w:rPr>
        <w:t>er</w:t>
      </w:r>
      <w:r>
        <w:rPr>
          <w:noProof/>
        </w:rPr>
        <w:t> janvier 2014 et le 31 décembre 2019. Le début de cette période correspond à l’entrée en vigueur de la dernière réforme du statut (ci-après la «réforme de 2014»). La Commission a fixé la fin de la période de référence au 31 décembre 2019 pour s’assurer que le présent rapport repose sur des données suffisamment consolidées et vérifiées. Dans la mesure du possible et le cas échéant, le présent rapport fait également état des évolutions survenues à partir de 2020.</w:t>
      </w:r>
    </w:p>
    <w:p w:rsidR="00F8725A" w:rsidRDefault="00BE7D43">
      <w:pPr>
        <w:pStyle w:val="Text2"/>
        <w:ind w:left="0"/>
        <w:rPr>
          <w:noProof/>
        </w:rPr>
      </w:pPr>
      <w:r>
        <w:rPr>
          <w:noProof/>
        </w:rPr>
        <w:t xml:space="preserve">Conformément au principe d’unicité du statut, le présent rapport porte sur tous les membres du personnel statutaire, c’est-à-dire ceux employés au titre du statut et ceux employés au titre du RAA. </w:t>
      </w:r>
    </w:p>
    <w:p w:rsidR="00F8725A" w:rsidRDefault="00BE7D43">
      <w:pPr>
        <w:pStyle w:val="Text2"/>
        <w:ind w:left="0"/>
        <w:rPr>
          <w:noProof/>
        </w:rPr>
      </w:pPr>
      <w:r>
        <w:rPr>
          <w:noProof/>
        </w:rPr>
        <w:t>Le colégislateur a défini dans les grandes lignes le champ d’application matériel du présent rapport en se référant au fonctionnement du statut et du RAA de manière générale. Par conséquent, le présent rapport traite de questions faisant l’objet de rapports périodiques soumis par la Commission au colégislateur, ainsi que de questions dont la Commission rend compte pour la première fois</w:t>
      </w:r>
      <w:r>
        <w:rPr>
          <w:rStyle w:val="FootnoteReference"/>
          <w:noProof/>
          <w:lang w:val="en-IE"/>
        </w:rPr>
        <w:footnoteReference w:id="1"/>
      </w:r>
      <w:r>
        <w:rPr>
          <w:noProof/>
        </w:rPr>
        <w:t xml:space="preserve"> depuis 2014. En outre, afin de fournir un tableau plus complet du fonctionnement du statut/RAA au cours de la période de référence, le présent rapport renvoie également aux actes d’autres institutions de l’Union, qui ont trait à la mise en œuvre du statut/RAA.</w:t>
      </w:r>
    </w:p>
    <w:p w:rsidR="00F8725A" w:rsidRDefault="00BE7D43">
      <w:pPr>
        <w:pStyle w:val="Heading1"/>
        <w:rPr>
          <w:noProof/>
        </w:rPr>
      </w:pPr>
      <w:r>
        <w:rPr>
          <w:noProof/>
        </w:rPr>
        <w:t xml:space="preserve">Rapports sur la mise en œuvre du statut et du RAA adoptés entre 2014 et 2019 </w:t>
      </w:r>
    </w:p>
    <w:p w:rsidR="00F8725A" w:rsidRDefault="00BE7D43">
      <w:pPr>
        <w:pStyle w:val="Heading2"/>
        <w:rPr>
          <w:noProof/>
        </w:rPr>
      </w:pPr>
      <w:r>
        <w:rPr>
          <w:noProof/>
        </w:rPr>
        <w:t>Rapports au titre de l’article 16, quatrième alinéa, du statut portant sur l’éthique</w:t>
      </w:r>
    </w:p>
    <w:p w:rsidR="00F8725A" w:rsidRDefault="00BE7D43">
      <w:pPr>
        <w:pStyle w:val="Text2"/>
        <w:ind w:left="0"/>
        <w:rPr>
          <w:noProof/>
        </w:rPr>
      </w:pPr>
      <w:r>
        <w:rPr>
          <w:noProof/>
        </w:rPr>
        <w:t>La réforme de 2014 a renforcé le cadre juridique éthique du statut en intégrant de nouvelles dispositions qui exigent une évaluation des conflits d’intérêt lors du recrutement ou de la réintégration d’un fonctionnaire après une période de congé de convenance personnelle. Ces dispositions répondent explicitement à la question des activités de lobbying ou de défense d’intérêts entreprises durant un congé de convenance personnelle</w:t>
      </w:r>
      <w:r>
        <w:rPr>
          <w:rStyle w:val="FootnoteReference"/>
          <w:noProof/>
          <w:lang w:val="en-IE"/>
        </w:rPr>
        <w:footnoteReference w:id="2"/>
      </w:r>
      <w:r>
        <w:rPr>
          <w:noProof/>
        </w:rPr>
        <w:t xml:space="preserve">. </w:t>
      </w:r>
    </w:p>
    <w:p w:rsidR="00F8725A" w:rsidRDefault="00BE7D43">
      <w:pPr>
        <w:pStyle w:val="Text2"/>
        <w:ind w:left="0"/>
        <w:rPr>
          <w:noProof/>
        </w:rPr>
      </w:pPr>
      <w:r>
        <w:rPr>
          <w:noProof/>
        </w:rPr>
        <w:t xml:space="preserve">Outre la possibilité existante d’imposer des conditions, y compris une interdiction de l’activité en vertu de l’article 16, deuxième alinéa, du statut, la réforme a également introduit une disposition spécifique et explicite pour les anciens membres du personnel d’encadrement supérieur auxquels, en vertu de l’article 16, troisième alinéa, du statut, l’autorité investie du pouvoir interdit en principe d’entreprendre une activité de lobbying ou de défense d’intérêts vis-à-vis du personnel de leur ancienne institution, pour une période d’un an après la cessation de leurs fonctions. </w:t>
      </w:r>
    </w:p>
    <w:p w:rsidR="00F8725A" w:rsidRDefault="00BE7D43">
      <w:pPr>
        <w:pStyle w:val="Text2"/>
        <w:ind w:left="0"/>
        <w:rPr>
          <w:noProof/>
        </w:rPr>
      </w:pPr>
      <w:r>
        <w:rPr>
          <w:noProof/>
        </w:rPr>
        <w:t xml:space="preserve">En vertu de l’article 16, quatrième alinéa, du statut, chaque institution publie, chaque année, des informations sur la mise en œuvre de la disposition susmentionnée concernant le personnel d’encadrement supérieur, y compris une liste des cas examinés (annexe I). </w:t>
      </w:r>
    </w:p>
    <w:p w:rsidR="00F8725A" w:rsidRDefault="00BE7D43">
      <w:pPr>
        <w:pStyle w:val="Text2"/>
        <w:ind w:left="0"/>
        <w:rPr>
          <w:noProof/>
        </w:rPr>
      </w:pPr>
      <w:r>
        <w:rPr>
          <w:noProof/>
        </w:rPr>
        <w:t>Le statut tel que modifié lors de la dernière réforme constitue donc une base solide pour faire face au risque d’une situation réelle, supposée ou potentielle de conflit d’intérêts concernant le personnel de l’Union. Dans cet esprit, la Commission procède régulièrement à la révision de son cadre juridique interne et de ses pratiques afin d’intégrer les enseignements tirés de l’expérience, en assimilant les suggestions et les recommandations provenant d’autres institutions en tant que meilleures pratiques</w:t>
      </w:r>
      <w:r>
        <w:rPr>
          <w:rStyle w:val="FootnoteReference"/>
          <w:noProof/>
          <w:lang w:val="en-IE"/>
        </w:rPr>
        <w:footnoteReference w:id="3"/>
      </w:r>
      <w:r>
        <w:rPr>
          <w:noProof/>
        </w:rPr>
        <w:t xml:space="preserve">. </w:t>
      </w:r>
    </w:p>
    <w:p w:rsidR="00F8725A" w:rsidRDefault="00BE7D43">
      <w:pPr>
        <w:pStyle w:val="Heading2"/>
        <w:rPr>
          <w:noProof/>
        </w:rPr>
      </w:pPr>
      <w:r>
        <w:rPr>
          <w:noProof/>
        </w:rPr>
        <w:t>Rapport en vertu de l’article 27 du statut et de l’article 12 du RAA sur l’équilibre géographique</w:t>
      </w:r>
    </w:p>
    <w:p w:rsidR="00F8725A" w:rsidRDefault="00BE7D43">
      <w:pPr>
        <w:autoSpaceDE w:val="0"/>
        <w:autoSpaceDN w:val="0"/>
        <w:adjustRightInd w:val="0"/>
        <w:rPr>
          <w:noProof/>
        </w:rPr>
      </w:pPr>
      <w:r>
        <w:rPr>
          <w:noProof/>
        </w:rPr>
        <w:t>La Commission a adopté un rapport sur l’équilibre géographique le 15 juin 2018</w:t>
      </w:r>
      <w:r>
        <w:rPr>
          <w:rStyle w:val="FootnoteReference"/>
          <w:noProof/>
          <w:lang w:val="en-IE"/>
        </w:rPr>
        <w:footnoteReference w:id="4"/>
      </w:r>
      <w:r>
        <w:rPr>
          <w:noProof/>
        </w:rPr>
        <w:t>. Ce rapport couvre une période de trois ans commençant le 1</w:t>
      </w:r>
      <w:r>
        <w:rPr>
          <w:noProof/>
          <w:vertAlign w:val="superscript"/>
        </w:rPr>
        <w:t>er</w:t>
      </w:r>
      <w:r>
        <w:rPr>
          <w:noProof/>
        </w:rPr>
        <w:t> janvier 2014, comme le prévoit l’article 27 du statut.</w:t>
      </w:r>
    </w:p>
    <w:p w:rsidR="00F8725A" w:rsidRDefault="00BE7D43">
      <w:pPr>
        <w:autoSpaceDE w:val="0"/>
        <w:autoSpaceDN w:val="0"/>
        <w:adjustRightInd w:val="0"/>
        <w:rPr>
          <w:noProof/>
        </w:rPr>
      </w:pPr>
      <w:r>
        <w:rPr>
          <w:noProof/>
        </w:rPr>
        <w:t>Le rapport a conclu que dix nationalités parmi les États membres ayant adhéré avant 2004</w:t>
      </w:r>
      <w:r>
        <w:rPr>
          <w:rStyle w:val="FootnoteReference"/>
          <w:noProof/>
          <w:lang w:val="en-IE"/>
        </w:rPr>
        <w:footnoteReference w:id="5"/>
      </w:r>
      <w:r>
        <w:rPr>
          <w:noProof/>
        </w:rPr>
        <w:t xml:space="preserve"> sont nettement sous-représentées au sein des administrateurs en début de carrière à la Commission. Ces dix États membres seront donc de plus en plus sous-représentés au cours des prochaines années, à moins que des mesures ne soient rapidement prises pour recruter davantage dans ces États membres. Si l’on peut observer, dans d’autres institutions et agences, certains déséquilibres, ces derniers sont soit sans importance, soit justifiés par des critères objectifs.</w:t>
      </w:r>
    </w:p>
    <w:p w:rsidR="00F8725A" w:rsidRDefault="00BE7D43">
      <w:pPr>
        <w:autoSpaceDE w:val="0"/>
        <w:autoSpaceDN w:val="0"/>
        <w:adjustRightInd w:val="0"/>
        <w:rPr>
          <w:noProof/>
        </w:rPr>
      </w:pPr>
      <w:r>
        <w:rPr>
          <w:noProof/>
        </w:rPr>
        <w:t>Le rapport a également montré que cette sous-représentation est étroitement liée à un manque d’intérêt pour une carrière dans la fonction publique européenne, comme en témoigne la faible participation des ressortissants de ces pays aux concours généraux lancés et gérés par l’Office européen de sélection du personnel (EPSO).</w:t>
      </w:r>
    </w:p>
    <w:p w:rsidR="00F8725A" w:rsidRDefault="00BE7D43">
      <w:pPr>
        <w:autoSpaceDE w:val="0"/>
        <w:autoSpaceDN w:val="0"/>
        <w:adjustRightInd w:val="0"/>
        <w:rPr>
          <w:noProof/>
        </w:rPr>
      </w:pPr>
      <w:r>
        <w:rPr>
          <w:noProof/>
        </w:rPr>
        <w:t xml:space="preserve">À la suite de l’adoption de ce rapport, la Commission et les autres institutions ont collaboré avec EPSO pour définir des mesures de redressement. Dans ce contexte, un groupe de travail interinstitutionnel spécial a été créé en avril 2019 et a présenté un certain nombre de recommandations au conseil d’administration d’EPSO. </w:t>
      </w:r>
    </w:p>
    <w:p w:rsidR="00F8725A" w:rsidRDefault="00BE7D43">
      <w:pPr>
        <w:autoSpaceDE w:val="0"/>
        <w:autoSpaceDN w:val="0"/>
        <w:adjustRightInd w:val="0"/>
        <w:rPr>
          <w:noProof/>
          <w:szCs w:val="24"/>
        </w:rPr>
      </w:pPr>
      <w:r>
        <w:rPr>
          <w:noProof/>
        </w:rPr>
        <w:t>En parallèle, la Cour des comptes a publié, le 29 octobre 2020, un rapport spécial portant sur l’adéquation du processus de sélection, axé sur les concours, d’EPSO</w:t>
      </w:r>
      <w:r>
        <w:rPr>
          <w:rStyle w:val="FootnoteReference"/>
          <w:noProof/>
          <w:lang w:val="en-IE"/>
        </w:rPr>
        <w:footnoteReference w:id="6"/>
      </w:r>
      <w:r>
        <w:rPr>
          <w:noProof/>
        </w:rPr>
        <w:t>. Tout d’abord, ce rapport a souligné en particulier que la communication et les événements destinés aux pays dont les ressortissants sont sous-représentés dans les concours ou parmi le personnel de l’Union n’avaient pas encore une incidence visible sur l’équilibre géographique des candidats. La Cour des comptes a également observé qu’une partie des lauréats sont déjà employés dans une des institutions, en tant qu’agents temporaires ou agents contractuels. En réalité, d’après les estimations de la Commission, il s’agit d’une part importante – qui peut aller jusqu’à la majorité selon le groupe de fonctions – des lauréats des concours d’EPSO, notamment dans les concours pour généralistes, dont environ deux tiers des lauréats travaillent déjà dans les institutions</w:t>
      </w:r>
      <w:r>
        <w:rPr>
          <w:rStyle w:val="FootnoteReference"/>
          <w:noProof/>
          <w:szCs w:val="24"/>
          <w:lang w:val="en-IE"/>
        </w:rPr>
        <w:footnoteReference w:id="7"/>
      </w:r>
      <w:r>
        <w:rPr>
          <w:noProof/>
        </w:rPr>
        <w:t>. Cela se répercute sur le niveau de représentation des ressortissants de chaque État membre au sein du personnel des institutions.</w:t>
      </w:r>
    </w:p>
    <w:p w:rsidR="00F8725A" w:rsidRDefault="00BE7D43">
      <w:pPr>
        <w:autoSpaceDE w:val="0"/>
        <w:autoSpaceDN w:val="0"/>
        <w:adjustRightInd w:val="0"/>
        <w:rPr>
          <w:noProof/>
        </w:rPr>
      </w:pPr>
      <w:r>
        <w:rPr>
          <w:noProof/>
        </w:rPr>
        <w:t>En outre, le rapport de la Cour des comptes a souligné qu’une enquête envoyée à un certain nombre de membres du personnel d’encadrement intermédiaire du Parlement européen, de la Commission européenne et de la Cour de justice sur leur expérience récente en matière de recrutement a indiqué que 22 % des fonctionnaires AD recrutés récemment avaient moins de 35 ans. Parmi ces nouveaux fonctionnaires, 62 % avaient plus de 40 ans. Il est donc probable qu’ils avaient déjà au moins 10 ans d’expérience professionnelle au moment où ils ont rejoint les institutions, une durée supérieure à celle généralement requise pour les grades des concours. L’inadéquation entre l’expérience professionnelle antérieure et les grades des concours est à son tour susceptible d’influencer l’attractivité des concours de l’Union auprès des États membres sous-représentés.</w:t>
      </w:r>
    </w:p>
    <w:p w:rsidR="00F8725A" w:rsidRDefault="00BE7D43">
      <w:pPr>
        <w:autoSpaceDE w:val="0"/>
        <w:autoSpaceDN w:val="0"/>
        <w:adjustRightInd w:val="0"/>
        <w:rPr>
          <w:noProof/>
        </w:rPr>
      </w:pPr>
      <w:r>
        <w:rPr>
          <w:noProof/>
        </w:rPr>
        <w:t>Le rapport comprend un certain nombre de recommandations, visant en particulier à améliorer la capacité d’EPSO à s’adapter à un environnement de recrutement en évolution rapide, ce qui devrait renforcer l’attractivité des carrières dans la fonction publique européenne.</w:t>
      </w:r>
    </w:p>
    <w:p w:rsidR="00F8725A" w:rsidRDefault="00BE7D43">
      <w:pPr>
        <w:pStyle w:val="Heading2"/>
        <w:rPr>
          <w:noProof/>
        </w:rPr>
      </w:pPr>
      <w:r>
        <w:rPr>
          <w:noProof/>
        </w:rPr>
        <w:t>Rapports au titre des articles 56 </w:t>
      </w:r>
      <w:r>
        <w:rPr>
          <w:i/>
          <w:noProof/>
        </w:rPr>
        <w:t>bis</w:t>
      </w:r>
      <w:r>
        <w:rPr>
          <w:noProof/>
        </w:rPr>
        <w:t>, 56 </w:t>
      </w:r>
      <w:r>
        <w:rPr>
          <w:i/>
          <w:noProof/>
        </w:rPr>
        <w:t>ter</w:t>
      </w:r>
      <w:r>
        <w:rPr>
          <w:noProof/>
        </w:rPr>
        <w:t xml:space="preserve"> et 56 </w:t>
      </w:r>
      <w:r>
        <w:rPr>
          <w:i/>
          <w:noProof/>
        </w:rPr>
        <w:t>quater</w:t>
      </w:r>
      <w:r>
        <w:rPr>
          <w:noProof/>
        </w:rPr>
        <w:t xml:space="preserve"> du statut concernant les indemnités spéciales pour le service continu ou par tours, les astreintes et les conditions de travail pénibles</w:t>
      </w:r>
    </w:p>
    <w:p w:rsidR="00F8725A" w:rsidRDefault="00BE7D43">
      <w:pPr>
        <w:rPr>
          <w:noProof/>
        </w:rPr>
      </w:pPr>
      <w:r>
        <w:rPr>
          <w:noProof/>
        </w:rPr>
        <w:t>Au cours de la période de référence, la Commission a adopté six rapports au titre des articles 56 </w:t>
      </w:r>
      <w:r>
        <w:rPr>
          <w:i/>
          <w:iCs/>
          <w:noProof/>
        </w:rPr>
        <w:t>bis</w:t>
      </w:r>
      <w:r>
        <w:rPr>
          <w:noProof/>
        </w:rPr>
        <w:t>, 56 </w:t>
      </w:r>
      <w:r>
        <w:rPr>
          <w:i/>
          <w:iCs/>
          <w:noProof/>
        </w:rPr>
        <w:t>ter</w:t>
      </w:r>
      <w:r>
        <w:rPr>
          <w:noProof/>
        </w:rPr>
        <w:t xml:space="preserve"> et 56 </w:t>
      </w:r>
      <w:r>
        <w:rPr>
          <w:i/>
          <w:iCs/>
          <w:noProof/>
        </w:rPr>
        <w:t>quater</w:t>
      </w:r>
      <w:r>
        <w:rPr>
          <w:noProof/>
        </w:rPr>
        <w:t xml:space="preserve"> du statut concernant les indemnités spéciales pour le service continu ou par tours, les astreintes et les conditions de travail pénibles et portant sur l’utilisation de ces indemnités entre 2014 et 2019</w:t>
      </w:r>
      <w:r>
        <w:rPr>
          <w:rStyle w:val="FootnoteReference"/>
          <w:noProof/>
          <w:lang w:val="en-IE"/>
        </w:rPr>
        <w:footnoteReference w:id="8"/>
      </w:r>
      <w:r>
        <w:rPr>
          <w:noProof/>
        </w:rPr>
        <w:t xml:space="preserve">. </w:t>
      </w:r>
    </w:p>
    <w:p w:rsidR="00F8725A" w:rsidRDefault="00BE7D43">
      <w:pPr>
        <w:rPr>
          <w:noProof/>
        </w:rPr>
      </w:pPr>
      <w:r>
        <w:rPr>
          <w:noProof/>
        </w:rPr>
        <w:t>Ces rapports ont montré que, parmi toutes les institutions, la Commission est celle qui utilise le plus l’indemnité d’astreinte</w:t>
      </w:r>
      <w:r>
        <w:rPr>
          <w:rStyle w:val="FootnoteReference"/>
          <w:noProof/>
          <w:lang w:val="en-IE"/>
        </w:rPr>
        <w:footnoteReference w:id="9"/>
      </w:r>
      <w:r>
        <w:rPr>
          <w:noProof/>
        </w:rPr>
        <w:t xml:space="preserve"> et la seule à avoir recours à l’indemnité pour conditions de travail particulièrement pénibles</w:t>
      </w:r>
      <w:r>
        <w:rPr>
          <w:rStyle w:val="FootnoteReference"/>
          <w:noProof/>
          <w:lang w:val="en-IE"/>
        </w:rPr>
        <w:footnoteReference w:id="10"/>
      </w:r>
      <w:r>
        <w:rPr>
          <w:noProof/>
        </w:rPr>
        <w:t xml:space="preserve"> (annexes 2 à 4). De leur côté, le Parlement européen et le Conseil utilisent principalement les indemnités pour service continu ou par tours. Le recours accru au service continu ou par tours a eu une incidence significative et directe sur les dépenses budgétaires globales</w:t>
      </w:r>
      <w:r>
        <w:rPr>
          <w:rStyle w:val="FootnoteReference"/>
          <w:noProof/>
          <w:lang w:val="en-IE"/>
        </w:rPr>
        <w:footnoteReference w:id="11"/>
      </w:r>
      <w:r>
        <w:rPr>
          <w:noProof/>
        </w:rPr>
        <w:t xml:space="preserve"> (annexe 5).</w:t>
      </w:r>
    </w:p>
    <w:p w:rsidR="00F8725A" w:rsidRDefault="00BE7D43">
      <w:pPr>
        <w:pStyle w:val="Heading2"/>
        <w:rPr>
          <w:noProof/>
        </w:rPr>
      </w:pPr>
      <w:r>
        <w:rPr>
          <w:noProof/>
        </w:rPr>
        <w:t>Rapport en application de l’article 77 du statut relatif à l’âge statutaire de la retraite</w:t>
      </w:r>
    </w:p>
    <w:p w:rsidR="00F8725A" w:rsidRDefault="00BE7D43">
      <w:pPr>
        <w:pStyle w:val="Text1"/>
        <w:ind w:left="0"/>
        <w:rPr>
          <w:noProof/>
        </w:rPr>
      </w:pPr>
      <w:r>
        <w:rPr>
          <w:noProof/>
        </w:rPr>
        <w:t>Le rapport de la Commission évaluant l’âge statutaire de la retraite a été adopté au cours du processus d’adoption interne du présent rapport</w:t>
      </w:r>
      <w:r>
        <w:rPr>
          <w:rStyle w:val="FootnoteReference"/>
          <w:noProof/>
          <w:lang w:val="en-IE"/>
        </w:rPr>
        <w:footnoteReference w:id="12"/>
      </w:r>
      <w:r>
        <w:rPr>
          <w:noProof/>
        </w:rPr>
        <w:t>.</w:t>
      </w:r>
    </w:p>
    <w:p w:rsidR="00F8725A" w:rsidRDefault="00BE7D43">
      <w:pPr>
        <w:pStyle w:val="Heading2"/>
        <w:rPr>
          <w:noProof/>
        </w:rPr>
      </w:pPr>
      <w:r>
        <w:rPr>
          <w:noProof/>
        </w:rPr>
        <w:t xml:space="preserve">Établissement de rapports sur la mise en œuvre de l’annexe XI du statut </w:t>
      </w:r>
    </w:p>
    <w:p w:rsidR="00F8725A" w:rsidRDefault="00BE7D43">
      <w:pPr>
        <w:rPr>
          <w:noProof/>
        </w:rPr>
      </w:pPr>
      <w:r>
        <w:rPr>
          <w:noProof/>
        </w:rPr>
        <w:t xml:space="preserve">L’actuelle méthode d’actualisation annuelle du niveau des rémunérations et des pensions du personnel de l’Union et des membres des institutions européennes a été adoptée à l’occasion de la réforme de 2014. Le statut prévoit que cette méthode sera en vigueur au moins jusqu’à la fin de 2023. Il définit les obligations d’information pour la Commission (c’est-à-dire les rapports annuels, le rapport intermédiaire et le rapport final). </w:t>
      </w:r>
    </w:p>
    <w:p w:rsidR="00F8725A" w:rsidRDefault="00BE7D43">
      <w:pPr>
        <w:rPr>
          <w:noProof/>
        </w:rPr>
      </w:pPr>
      <w:r>
        <w:rPr>
          <w:noProof/>
        </w:rPr>
        <w:t>Conformément à l’article 15, paragraphe 4, de l’annexe XI du statut, la Commission a soumis un rapport intermédiaire sur l’application de l’annexe XI en décembre 2018. Ce rapport a conclu que l’annexe XI avait été mise en œuvre conformément aux règles applicables durant la période d’évaluation</w:t>
      </w:r>
      <w:r>
        <w:rPr>
          <w:rStyle w:val="FootnoteReference"/>
          <w:noProof/>
          <w:lang w:val="en-IE"/>
        </w:rPr>
        <w:footnoteReference w:id="13"/>
      </w:r>
      <w:r>
        <w:rPr>
          <w:noProof/>
        </w:rPr>
        <w:t xml:space="preserve">. </w:t>
      </w:r>
    </w:p>
    <w:p w:rsidR="00F8725A" w:rsidRDefault="00BE7D43">
      <w:pPr>
        <w:rPr>
          <w:noProof/>
        </w:rPr>
      </w:pPr>
      <w:r>
        <w:rPr>
          <w:noProof/>
        </w:rPr>
        <w:t>Entre 2015 et 2020, la Commission a également adopté six rapports annuels portant sur les implications budgétaires de l’actualisation des rémunérations et des pensions. À l’issue d’une phase initiale d’augmentation supérieure à la moyenne de la valeur de l’actualisation en 2015 et en 2016 (qui pourrait être considérée comme un effet de «rattrapage» dans les États membres après la crise économique et sociale de la période 2018-2012), les exercices annuels suivants de 2017, 2018 et 2019 ont donné lieu à une augmentation modérée des salaires nominaux.</w:t>
      </w:r>
    </w:p>
    <w:p w:rsidR="00F8725A" w:rsidRDefault="00BE7D43">
      <w:pPr>
        <w:rPr>
          <w:noProof/>
        </w:rPr>
      </w:pPr>
      <w:r>
        <w:rPr>
          <w:noProof/>
        </w:rPr>
        <w:t>En ce qui concerne la mise en œuvre du principe d’égalité du pouvoir d’achat entre les membres du personnel de l’Union dans différents lieux d’affectation, via le système des coefficients correcteurs, peu de problèmes ont été décelés qui nécessiteront d’être suivis de près au cours de la période de mise en œuvre 2018-2022.</w:t>
      </w:r>
    </w:p>
    <w:p w:rsidR="00F8725A" w:rsidRDefault="00BE7D43">
      <w:pPr>
        <w:rPr>
          <w:noProof/>
        </w:rPr>
      </w:pPr>
      <w:r>
        <w:rPr>
          <w:noProof/>
        </w:rPr>
        <w:t xml:space="preserve">Il est à noter qu’en 2020, la clause d’exception prévue à l’article 11 de l’annexe XI s’appliquait automatiquement en raison du ralentissement de l’activité économique engendré par la pandémie de COVID-19. Par conséquent, le gain de pouvoir d’achat que les fonctionnaires nationaux des administrations centrales des États membres de référence ont obtenu durant la période comprise entre juillet 2019 et juillet 2020 n’a pas été pris en considération dans l’actualisation de 2020 et a été reporté jusqu’à ce que le PIB de l’Union retrouve son niveau d’avant la crise. </w:t>
      </w:r>
    </w:p>
    <w:p w:rsidR="00F8725A" w:rsidRDefault="00BE7D43">
      <w:pPr>
        <w:rPr>
          <w:noProof/>
        </w:rPr>
      </w:pPr>
      <w:r>
        <w:rPr>
          <w:noProof/>
        </w:rPr>
        <w:t xml:space="preserve">Étant donné que la méthode actuelle comprend une actualisation annuelle automatique et des clauses automatiques en cas de crise, elle a apporté une réponse effective aux difficultés de mise en œuvre des méthodes précédentes. Dans le même temps, la méthode a fait l’objet d’un examen constant par le Parlement européen et le Conseil par l’intermédiaire des rapports annuels fournis par la Commission. </w:t>
      </w:r>
    </w:p>
    <w:p w:rsidR="00F8725A" w:rsidRDefault="00BE7D43">
      <w:pPr>
        <w:rPr>
          <w:noProof/>
        </w:rPr>
      </w:pPr>
      <w:r>
        <w:rPr>
          <w:noProof/>
        </w:rPr>
        <w:t>L’application de l’annexe XI sera à nouveau analysée dans le rapport final sur l’évolution du pouvoir d’achat des fonctionnaires de l’Union et des fonctionnaires nationaux que la Commission est tenue de soumettre au Parlement européen et au Conseil au plus tard en mars 2022, et sur la base duquel la Commission présentera, le cas échéant, une proposition législative en vue de modifier les dispositions du statut relatives à la méthode.</w:t>
      </w:r>
    </w:p>
    <w:p w:rsidR="00F8725A" w:rsidRDefault="00BE7D43">
      <w:pPr>
        <w:pStyle w:val="Heading2"/>
        <w:rPr>
          <w:noProof/>
        </w:rPr>
      </w:pPr>
      <w:r>
        <w:rPr>
          <w:noProof/>
        </w:rPr>
        <w:t>Établissement de rapports sur l’application de l’annexe XII du statut</w:t>
      </w:r>
    </w:p>
    <w:p w:rsidR="00F8725A" w:rsidRDefault="00BE7D43">
      <w:pPr>
        <w:rPr>
          <w:noProof/>
        </w:rPr>
      </w:pPr>
      <w:r>
        <w:rPr>
          <w:noProof/>
        </w:rPr>
        <w:t>En décembre 2018, la Commission a également présenté un rapport intérimaire sur l’application de l’annexe XII</w:t>
      </w:r>
      <w:r>
        <w:rPr>
          <w:rStyle w:val="FootnoteReference"/>
          <w:noProof/>
          <w:lang w:val="en-IE"/>
        </w:rPr>
        <w:footnoteReference w:id="14"/>
      </w:r>
      <w:r>
        <w:rPr>
          <w:noProof/>
        </w:rPr>
        <w:t>. Ce rapport a montré que l’application de l’annexe XII du statut avait atteint son objectif spécifique consistant à garantir l’équilibre du régime de pension des fonctionnaires de l’Union (y compris la contribution au régime de pensions versée au budget par le personnel pour couvrir un tiers des droits à pension acquis chaque année). Il a par ailleurs confirmé que les réformes du statut adoptées en 2004 et en 2014 ont permis une hausse des économies annuelles résultant de la réduction des prestations et du relèvement de l’âge de la retraite</w:t>
      </w:r>
      <w:r>
        <w:rPr>
          <w:rStyle w:val="FootnoteReference"/>
          <w:noProof/>
          <w:lang w:val="en-IE"/>
        </w:rPr>
        <w:footnoteReference w:id="15"/>
      </w:r>
      <w:r>
        <w:rPr>
          <w:noProof/>
        </w:rPr>
        <w:t xml:space="preserve">. </w:t>
      </w:r>
    </w:p>
    <w:p w:rsidR="00F8725A" w:rsidRDefault="00BE7D43">
      <w:pPr>
        <w:rPr>
          <w:noProof/>
          <w:szCs w:val="24"/>
        </w:rPr>
      </w:pPr>
      <w:r>
        <w:rPr>
          <w:noProof/>
        </w:rPr>
        <w:t xml:space="preserve">La mise en œuvre de l’annexe XII sera analysée de manière plus approfondie dans le rapport final que la Commission est tenue de présenter au Parlement européen et au Conseil en 2022, sur la base duquel la Commission présentera, le cas échéant, une proposition législative en vue de modifier les dispositions du statut relatives au fonctionnement du régime de pensions. </w:t>
      </w:r>
    </w:p>
    <w:p w:rsidR="00F8725A" w:rsidRDefault="00BE7D43">
      <w:pPr>
        <w:pStyle w:val="Heading2"/>
        <w:rPr>
          <w:noProof/>
        </w:rPr>
      </w:pPr>
      <w:r>
        <w:rPr>
          <w:noProof/>
        </w:rPr>
        <w:t>Rapports au titre de l’article 28 </w:t>
      </w:r>
      <w:r>
        <w:rPr>
          <w:i/>
          <w:noProof/>
        </w:rPr>
        <w:t>bis</w:t>
      </w:r>
      <w:r>
        <w:rPr>
          <w:noProof/>
        </w:rPr>
        <w:t>, paragraphe 11, du RAA sur la situation financière du régime d’assurance contre le chômage</w:t>
      </w:r>
    </w:p>
    <w:p w:rsidR="00F8725A" w:rsidRDefault="00BE7D43">
      <w:pPr>
        <w:rPr>
          <w:noProof/>
        </w:rPr>
      </w:pPr>
      <w:r>
        <w:rPr>
          <w:noProof/>
        </w:rPr>
        <w:t>En vertu de l’article 28 </w:t>
      </w:r>
      <w:r>
        <w:rPr>
          <w:i/>
          <w:noProof/>
        </w:rPr>
        <w:t>bis</w:t>
      </w:r>
      <w:r>
        <w:rPr>
          <w:noProof/>
        </w:rPr>
        <w:t>, paragraphe 11, du RAA, la Commission présente, tous les deux ans, un rapport sur la situation financière du régime d’assurance contre le chômage. La Commission a adopté deux rapports au cours de la période de référence</w:t>
      </w:r>
      <w:r>
        <w:rPr>
          <w:rStyle w:val="FootnoteReference"/>
          <w:noProof/>
          <w:lang w:val="en-IE"/>
        </w:rPr>
        <w:footnoteReference w:id="16"/>
      </w:r>
      <w:r>
        <w:rPr>
          <w:noProof/>
        </w:rPr>
        <w:t>. Ces rapports ont révélé des déficits annuels successifs entre 2013 et 2015, entraînant une diminution de la réserve du Fonds de chômage</w:t>
      </w:r>
      <w:r>
        <w:rPr>
          <w:rStyle w:val="FootnoteReference"/>
          <w:noProof/>
          <w:lang w:val="en-IE"/>
        </w:rPr>
        <w:footnoteReference w:id="17"/>
      </w:r>
      <w:r>
        <w:rPr>
          <w:noProof/>
        </w:rPr>
        <w:t>. Les exercices financiers de 2016, 2017 et 2018 ont apporté des surplus successifs permettant d’accroître considérablement la réserve</w:t>
      </w:r>
      <w:r>
        <w:rPr>
          <w:rStyle w:val="FootnoteReference"/>
          <w:noProof/>
          <w:lang w:val="en-IE"/>
        </w:rPr>
        <w:footnoteReference w:id="18"/>
      </w:r>
      <w:r>
        <w:rPr>
          <w:noProof/>
        </w:rPr>
        <w:t>.</w:t>
      </w:r>
    </w:p>
    <w:p w:rsidR="00F8725A" w:rsidRDefault="00BE7D43">
      <w:pPr>
        <w:rPr>
          <w:noProof/>
        </w:rPr>
      </w:pPr>
      <w:r>
        <w:rPr>
          <w:noProof/>
        </w:rPr>
        <w:t xml:space="preserve">Conformément aux conclusions du rapport de 2016 sur la situation financière du régime d’assurance chômage, et en tenant compte notamment des facteurs de risque recensés, la Commission a procédé à un suivi régulier de la situation financière du régime. En particulier, la Commission a continué à évaluer si l’équilibre du régime nécessitait un ajustement des taux de contribution, qui constituent la base sur laquelle le régime est financé. Jusqu’à la fin de 2019, un tel ajustement n’a pas été nécessaire. </w:t>
      </w:r>
    </w:p>
    <w:p w:rsidR="00F8725A" w:rsidRDefault="00BE7D43">
      <w:pPr>
        <w:pStyle w:val="Heading2"/>
        <w:rPr>
          <w:noProof/>
        </w:rPr>
      </w:pPr>
      <w:r>
        <w:rPr>
          <w:noProof/>
        </w:rPr>
        <w:t>Rapports en application de l’article 79 du RAA concernant le recours aux agents contractuels</w:t>
      </w:r>
    </w:p>
    <w:p w:rsidR="00F8725A" w:rsidRDefault="00BE7D43">
      <w:pPr>
        <w:rPr>
          <w:noProof/>
        </w:rPr>
      </w:pPr>
      <w:r>
        <w:rPr>
          <w:noProof/>
        </w:rPr>
        <w:t>En vertu de l’article 79, paragraphe 3, du RAA, la Commission présente chaque année un rapport sur le recours aux agents contractuels. La Commission a rempli cette obligation pour les années 2014 à 2018, tandis qu’au moment de la rédaction du présent rapport, les rapports couvrant les années 2019 et 2020 sont en préparation. Toutes les données se rapportent au 31 décembre de chaque année.</w:t>
      </w:r>
    </w:p>
    <w:p w:rsidR="00F8725A" w:rsidRDefault="00BE7D43">
      <w:pPr>
        <w:pStyle w:val="Heading3"/>
        <w:rPr>
          <w:noProof/>
        </w:rPr>
      </w:pPr>
      <w:r>
        <w:rPr>
          <w:noProof/>
        </w:rPr>
        <w:t xml:space="preserve">Évolution du nombre d’agents contractuels </w:t>
      </w:r>
    </w:p>
    <w:p w:rsidR="00F8725A" w:rsidRDefault="00BE7D43">
      <w:pPr>
        <w:rPr>
          <w:noProof/>
          <w:szCs w:val="24"/>
        </w:rPr>
      </w:pPr>
      <w:r>
        <w:rPr>
          <w:noProof/>
        </w:rPr>
        <w:t xml:space="preserve">À la fin de 2014, la Commission, les autres institutions et les agences employaient 11 064 agents contractuels. Quatre ans plus tard, elles en employaient 13 841 (+ 25,1 %) (annexe 6). </w:t>
      </w:r>
    </w:p>
    <w:p w:rsidR="00F8725A" w:rsidRDefault="00BE7D43">
      <w:pPr>
        <w:rPr>
          <w:noProof/>
          <w:szCs w:val="24"/>
        </w:rPr>
      </w:pPr>
      <w:r>
        <w:rPr>
          <w:noProof/>
        </w:rPr>
        <w:t>Cette augmentation diffère sensiblement selon les divers groupes des institutions/agences. Si la Commission connaît une hausse de 12,4 % au cours de cette période, les autres institutions et les agences enregistrent une augmentation de 27,7 % et de 54,7 % respectivement (voir les annexes 6 et 7). De plus, le taux d’augmentation a varié au fil du temps, notamment au sein de la Commission et des agences en 2017 et en 2018. En particulier, la Commission a fait état d’augmentations ne dépassant pas 1 % en 2017 et en 2018.</w:t>
      </w:r>
    </w:p>
    <w:p w:rsidR="00F8725A" w:rsidRDefault="00BE7D43">
      <w:pPr>
        <w:rPr>
          <w:noProof/>
          <w:szCs w:val="24"/>
        </w:rPr>
      </w:pPr>
      <w:r>
        <w:rPr>
          <w:noProof/>
        </w:rPr>
        <w:t>Il convient de noter que, de même que pour les fonctionnaires et les agents temporaires, l’engagement des agents contractuels s’effectue sur la base du profil recherché et des compétences professionnelles et des connaissances linguistiques des candidats, sans que de quelconques quotas nationaux ne soient fixés.</w:t>
      </w:r>
    </w:p>
    <w:p w:rsidR="00F8725A" w:rsidRDefault="00BE7D43">
      <w:pPr>
        <w:rPr>
          <w:noProof/>
        </w:rPr>
      </w:pPr>
      <w:r>
        <w:rPr>
          <w:noProof/>
        </w:rPr>
        <w:t xml:space="preserve">Les annexes 8 à 11 présentent la répartition des agents contractuels par nationalité et par groupe de fonctions, en 2014 et en 2018 respectivement. En ce qui concerne les nationalités des agents contractuels, l’Italie, la Belgique, la France et l’Espagne sont les quatre premières nationalités recensées dans la population des agents contractuels, constituant ensemble environ 60 % du nombre total d’agents contractuels. Dans les groupes de fonctions (GF) III et IV, les quatre États membres susmentionnés représentent 55 % du nombre d’agents contractuels. Cette composition de la représentation géographique est le résultat d’une combinaison de facteurs, en particulier la proximité géographique des lieux d’affectation respectifs de l’institution (principalement Bruxelles, la ville de Luxembourg et Ispra pour la Commission), les niveaux de rémunération et la durée des contrats proposés. </w:t>
      </w:r>
    </w:p>
    <w:p w:rsidR="00F8725A" w:rsidRDefault="00BE7D43">
      <w:pPr>
        <w:pStyle w:val="Heading3"/>
        <w:rPr>
          <w:noProof/>
        </w:rPr>
      </w:pPr>
      <w:r>
        <w:rPr>
          <w:noProof/>
        </w:rPr>
        <w:t>Structure des carrières des agents contractuels</w:t>
      </w:r>
    </w:p>
    <w:p w:rsidR="00F8725A" w:rsidRDefault="00BE7D43">
      <w:pPr>
        <w:tabs>
          <w:tab w:val="left" w:pos="426"/>
        </w:tabs>
        <w:rPr>
          <w:noProof/>
        </w:rPr>
      </w:pPr>
      <w:r>
        <w:rPr>
          <w:noProof/>
        </w:rPr>
        <w:t xml:space="preserve">L’article 80 du RAA établit une correspondance entre chaque groupe de fonctions et les tâches exercées au sein de ceux-ci (annexe 12). </w:t>
      </w:r>
    </w:p>
    <w:p w:rsidR="00F8725A" w:rsidRDefault="00BE7D43">
      <w:pPr>
        <w:rPr>
          <w:noProof/>
        </w:rPr>
      </w:pPr>
      <w:r>
        <w:rPr>
          <w:noProof/>
        </w:rPr>
        <w:t>En novembre 2017, de nouvelles dispositions générales d’exécution (DGE) relatives aux agents contractuels</w:t>
      </w:r>
      <w:r>
        <w:rPr>
          <w:rStyle w:val="FootnoteReference"/>
          <w:noProof/>
          <w:lang w:val="en-IE"/>
        </w:rPr>
        <w:footnoteReference w:id="19"/>
      </w:r>
      <w:r>
        <w:rPr>
          <w:noProof/>
        </w:rPr>
        <w:t xml:space="preserve"> sont entrées en vigueur. Ces DGE prévoient la possibilité d’aligner le groupe de fonctions sur le niveau des fonctions exercées</w:t>
      </w:r>
      <w:r>
        <w:rPr>
          <w:rStyle w:val="FootnoteReference"/>
          <w:noProof/>
          <w:lang w:val="en-IE"/>
        </w:rPr>
        <w:footnoteReference w:id="20"/>
      </w:r>
      <w:r>
        <w:rPr>
          <w:noProof/>
        </w:rPr>
        <w:t>. Le premier exercice a eu lieu en 2019 pour les agents contractuels basés à Luxembourg et a été suivi par des procédures de sélection et des changements supplémentaires dans les groupes de fonctions</w:t>
      </w:r>
      <w:r>
        <w:rPr>
          <w:rStyle w:val="FootnoteReference"/>
          <w:noProof/>
          <w:lang w:val="en-IE"/>
        </w:rPr>
        <w:footnoteReference w:id="21"/>
      </w:r>
      <w:r>
        <w:rPr>
          <w:noProof/>
        </w:rPr>
        <w:t>. D’autres exercices font actuellement l’objet d’une étude et seront lancés sur la base d’une évaluation plus large de la corrélation entre le niveau des tâches et le groupe de fonctions correspondant.</w:t>
      </w:r>
    </w:p>
    <w:p w:rsidR="00F8725A" w:rsidRDefault="00BE7D43">
      <w:pPr>
        <w:pStyle w:val="Heading3"/>
        <w:rPr>
          <w:noProof/>
        </w:rPr>
      </w:pPr>
      <w:r>
        <w:rPr>
          <w:noProof/>
        </w:rPr>
        <w:t>Concours internes ouverts aux agents contractuels de la Commission</w:t>
      </w:r>
    </w:p>
    <w:p w:rsidR="00F8725A" w:rsidRDefault="00BE7D43">
      <w:pPr>
        <w:pStyle w:val="Text2"/>
        <w:spacing w:after="0"/>
        <w:ind w:left="0"/>
        <w:rPr>
          <w:noProof/>
        </w:rPr>
      </w:pPr>
      <w:r>
        <w:rPr>
          <w:noProof/>
        </w:rPr>
        <w:t>Au titre de l’article 82, paragraphe 7, du RAA, les agents contractuels peuvent participer, à titre exceptionnel, aux concours internes pour les fonctionnaires. Deux concours internes ouverts aux agents contractuels ont depuis lors été organisés par la Commission, en 2016 et en 2018 (annexe 13). La Commission ne dispose d’aucune information sur le recours à cette disposition par d’autres institutions.</w:t>
      </w:r>
    </w:p>
    <w:p w:rsidR="00F8725A" w:rsidRDefault="00BE7D43">
      <w:pPr>
        <w:pStyle w:val="Heading1"/>
        <w:rPr>
          <w:noProof/>
        </w:rPr>
      </w:pPr>
      <w:r>
        <w:rPr>
          <w:noProof/>
        </w:rPr>
        <w:t xml:space="preserve">Rapports ad hoc fournis au titre de l’article 6 du statut </w:t>
      </w:r>
    </w:p>
    <w:p w:rsidR="00F8725A" w:rsidRDefault="00BE7D43">
      <w:pPr>
        <w:pStyle w:val="Heading2"/>
        <w:rPr>
          <w:noProof/>
        </w:rPr>
      </w:pPr>
      <w:r>
        <w:rPr>
          <w:noProof/>
        </w:rPr>
        <w:t>Rapport en application de l’article 6, paragraphe 3, sur les taux de promotion fixés à l’annexe I, section B</w:t>
      </w:r>
    </w:p>
    <w:p w:rsidR="00F8725A" w:rsidRDefault="00BE7D43">
      <w:pPr>
        <w:rPr>
          <w:noProof/>
        </w:rPr>
      </w:pPr>
      <w:r>
        <w:rPr>
          <w:noProof/>
        </w:rPr>
        <w:t>Conformément à l’article 6, paragraphe 2, du statut relatif aux emplois vacants dans le tableau des effectifs, la Commission est tenue de garantir que, à compter du 1</w:t>
      </w:r>
      <w:r>
        <w:rPr>
          <w:noProof/>
          <w:vertAlign w:val="superscript"/>
        </w:rPr>
        <w:t>er</w:t>
      </w:r>
      <w:r>
        <w:rPr>
          <w:noProof/>
        </w:rPr>
        <w:t> janvier 2014, le nombre d’emplois vacants pour chaque grade du tableau des effectifs (c’est-à-dire le nombre d’emplois alloués à chaque institution) est égal, au 1</w:t>
      </w:r>
      <w:r>
        <w:rPr>
          <w:noProof/>
          <w:vertAlign w:val="superscript"/>
        </w:rPr>
        <w:t>er</w:t>
      </w:r>
      <w:r>
        <w:rPr>
          <w:noProof/>
        </w:rPr>
        <w:t> janvier de chaque année, au nombre de fonctionnaires en activité au grade inférieur au 1</w:t>
      </w:r>
      <w:r>
        <w:rPr>
          <w:noProof/>
          <w:vertAlign w:val="superscript"/>
        </w:rPr>
        <w:t>er</w:t>
      </w:r>
      <w:r>
        <w:rPr>
          <w:noProof/>
        </w:rPr>
        <w:t xml:space="preserve"> janvier de l’année précédente, multiplié par les taux fixés, pour ce grade, à l’annexe I, section B, du statut. </w:t>
      </w:r>
    </w:p>
    <w:p w:rsidR="00F8725A" w:rsidRDefault="00BE7D43">
      <w:pPr>
        <w:rPr>
          <w:noProof/>
        </w:rPr>
      </w:pPr>
      <w:r>
        <w:rPr>
          <w:noProof/>
        </w:rPr>
        <w:t xml:space="preserve">L’autorité budgétaire est tenue de respecter les taux, qui constituent une garantie pour les institutions d’avoir un nombre déterminé d’emplois vacants à leur disposition dans chaque grade. Il revient alors à chaque institution, en tenant compte de son contexte et de ses objectifs spécifiques, de définir sa propre politique du personnel dans les limites de cette garantie. </w:t>
      </w:r>
    </w:p>
    <w:p w:rsidR="00F8725A" w:rsidRDefault="00BE7D43">
      <w:pPr>
        <w:spacing w:after="160" w:line="259" w:lineRule="auto"/>
        <w:rPr>
          <w:rFonts w:eastAsiaTheme="minorHAnsi"/>
          <w:noProof/>
          <w:szCs w:val="24"/>
        </w:rPr>
      </w:pPr>
      <w:r>
        <w:rPr>
          <w:noProof/>
        </w:rPr>
        <w:t>La mise à disposition d’emplois vacants dans un grade donné permet aux institutions soit de promouvoir, soit d’agréer [nommer des fonctionnaires du groupe de fonctions des assistants (AST) à un poste d’administrateur (AD)], soit de recruter dans les limites des grades de recrutement stipulés dans le statut. L’article 6 du statut donne une structure au tableau des effectifs en établissant une règle de disponibilité concernant les postes vacants et en renvoyant au principe de promotion fondé sur l’examen comparatif des mérites énoncé à l’article 45.</w:t>
      </w:r>
    </w:p>
    <w:p w:rsidR="00F8725A" w:rsidRDefault="00BE7D43">
      <w:pPr>
        <w:rPr>
          <w:noProof/>
          <w:szCs w:val="24"/>
        </w:rPr>
      </w:pPr>
      <w:r>
        <w:rPr>
          <w:noProof/>
        </w:rPr>
        <w:t>À la Commission, il existe deux types de promotions: les promotions dites de «première filière» (c’est-à-dire relatives à la nomination à des postes de chef d’unité, de conseiller, d’expert confirmé et d’assistant confirmé), présentées pour toutes les institutions à l’annexe 14, et celles dites de «deuxième filière» présentées pour toutes les institutions à l’annexe 15, qui comprennent tous les grades concernés par l’exercice annuel régulier de promotion</w:t>
      </w:r>
      <w:r>
        <w:rPr>
          <w:rStyle w:val="FootnoteReference"/>
          <w:noProof/>
          <w:lang w:val="en-IE"/>
        </w:rPr>
        <w:footnoteReference w:id="22"/>
      </w:r>
      <w:r>
        <w:rPr>
          <w:noProof/>
        </w:rPr>
        <w:t xml:space="preserve">.  Parmi les 21 grades concernés par l’exercice annuel de promotion, trois grandes catégories peuvent être définies. </w:t>
      </w:r>
    </w:p>
    <w:p w:rsidR="00F8725A" w:rsidRDefault="00BE7D43">
      <w:pPr>
        <w:rPr>
          <w:noProof/>
          <w:szCs w:val="24"/>
        </w:rPr>
      </w:pPr>
      <w:r>
        <w:rPr>
          <w:noProof/>
        </w:rPr>
        <w:t>La première catégorie comprend les grades dans lesquels le nombre réel de promotions au grade supérieur est équivalent</w:t>
      </w:r>
      <w:r>
        <w:rPr>
          <w:rStyle w:val="FootnoteReference"/>
          <w:noProof/>
          <w:szCs w:val="24"/>
          <w:lang w:val="en-IE"/>
        </w:rPr>
        <w:footnoteReference w:id="23"/>
      </w:r>
      <w:r>
        <w:rPr>
          <w:noProof/>
        </w:rPr>
        <w:t xml:space="preserve"> aux seuils fixés à l’article 6 du statut. Elle inclut les grades AD 11, 10, 9, 8 et 7 ainsi que les grades AST 8, 7, 6, 5 et 4. </w:t>
      </w:r>
    </w:p>
    <w:p w:rsidR="00F8725A" w:rsidRDefault="00BE7D43">
      <w:pPr>
        <w:rPr>
          <w:noProof/>
        </w:rPr>
      </w:pPr>
      <w:r>
        <w:rPr>
          <w:noProof/>
        </w:rPr>
        <w:t>La deuxième catégorie comprend les grades dans lesquels le nombre réel de promotions au grade supérieur dépasse les seuils fixés à l’article 6 du statut. Elle inclut les grades AD 6 et 5 ainsi que les grades AST  3, 2, 1</w:t>
      </w:r>
      <w:r>
        <w:rPr>
          <w:noProof/>
          <w:vertAlign w:val="superscript"/>
          <w:lang w:val="en-IE"/>
        </w:rPr>
        <w:footnoteReference w:id="24"/>
      </w:r>
      <w:r>
        <w:rPr>
          <w:noProof/>
        </w:rPr>
        <w:t xml:space="preserve"> et 4 D (un grade intermédiaire introduit par la réforme du statut de 2004).</w:t>
      </w:r>
    </w:p>
    <w:p w:rsidR="00F8725A" w:rsidRDefault="00BE7D43">
      <w:pPr>
        <w:rPr>
          <w:noProof/>
          <w:szCs w:val="24"/>
        </w:rPr>
      </w:pPr>
      <w:r>
        <w:rPr>
          <w:noProof/>
        </w:rPr>
        <w:t>En ce qui concerne le grade AST 4 D, en l’absence de recrutement dans ce grade, sa population a diminué au fil des ans. Par conséquent, la proportion des titulaires de poste pouvant prétendre à une promotion fondée sur leurs mérites a augmenté avec le temps (en d’autres termes l’«effet de vidage de grade»). La même observation s’applique mutatis mutandis au grade AST 1 pour la période 2014-2017.</w:t>
      </w:r>
    </w:p>
    <w:p w:rsidR="00F8725A" w:rsidRDefault="00BE7D43">
      <w:pPr>
        <w:rPr>
          <w:noProof/>
          <w:szCs w:val="24"/>
        </w:rPr>
      </w:pPr>
      <w:r>
        <w:rPr>
          <w:noProof/>
        </w:rPr>
        <w:t>Concernant les grades AD 5-AD 6, les taux de promotion plus élevés observés dans ces deux grades d’entrée peuvent s’expliquer par la volonté de l’encadrement d’encourager les titulaires de poste récemment nommés en leur proposant une première promotion relativement rapide correspondant à leurs mérites.</w:t>
      </w:r>
    </w:p>
    <w:p w:rsidR="00F8725A" w:rsidRDefault="00BE7D43">
      <w:pPr>
        <w:pStyle w:val="Text2"/>
        <w:ind w:left="0"/>
        <w:rPr>
          <w:noProof/>
        </w:rPr>
      </w:pPr>
      <w:r>
        <w:rPr>
          <w:noProof/>
        </w:rPr>
        <w:t xml:space="preserve">La troisième catégorie comprend les grades dans lesquels le nombre réel de promotions au grade supérieur n’atteint pas les seuils fixés à l’article 6 du statut. Elle inclut les grades AD 13 et 12, le grade AST 10 ainsi que les grades AST/SC 2 et 1. </w:t>
      </w:r>
    </w:p>
    <w:p w:rsidR="00F8725A" w:rsidRDefault="00BE7D43">
      <w:pPr>
        <w:pStyle w:val="Text2"/>
        <w:ind w:left="0"/>
        <w:rPr>
          <w:noProof/>
        </w:rPr>
      </w:pPr>
      <w:r>
        <w:rPr>
          <w:noProof/>
        </w:rPr>
        <w:t>Pour les grades AST/SC, le recrutement a débuté en 2015, réduisant ainsi mécaniquement les taux de promotion dans ces grades pour les trois premiers exercices de promotion. Le taux de promotion augmente au fil du temps grâce à ce que l’on appelle l’«effet de remplissage de grade» et les chiffres pour 2019 montrent que le seuil fixé pour le grade AST/SC 2 était déjà dépassé. Le taux pour le grade AST/SC 1 a été atteint en 2020, alors que l’effet de «remplissage de grade» a disparu.</w:t>
      </w:r>
    </w:p>
    <w:p w:rsidR="00F8725A" w:rsidRDefault="00BE7D43">
      <w:pPr>
        <w:pStyle w:val="Text2"/>
        <w:ind w:left="0"/>
        <w:rPr>
          <w:noProof/>
        </w:rPr>
      </w:pPr>
      <w:r>
        <w:rPr>
          <w:noProof/>
        </w:rPr>
        <w:t>En ce qui concerne le grade AST 10, à la suite de la réforme de 2014, seuls les titulaires de poste AST 9 nommés à un poste d’assistant confirmé accèdent au grade AST 10 («première filière»). La population du grade AST 10 est par conséquent directement liée au nombre de nominations d’assistants confirmés, ce qui explique les importantes variations des taux de promotion dans ce grade au fil du temps.</w:t>
      </w:r>
    </w:p>
    <w:p w:rsidR="00F8725A" w:rsidRDefault="00BE7D43">
      <w:pPr>
        <w:pStyle w:val="Text2"/>
        <w:ind w:left="0"/>
        <w:rPr>
          <w:noProof/>
        </w:rPr>
      </w:pPr>
      <w:r>
        <w:rPr>
          <w:noProof/>
        </w:rPr>
        <w:t>Concernant les grades AD 12 et AD 13, compte tenu des dispositions en matière de carrière introduites par la réforme de 2014, les taux de promotion calculés sur la base de la population en activité (indépendamment de son éligibilité à la promotion) sont faibles. C’est la conséquence de l’obligation de corréler les promotions dans les grades supérieurs au grade occupé.</w:t>
      </w:r>
    </w:p>
    <w:p w:rsidR="00F8725A" w:rsidRDefault="00BE7D43">
      <w:pPr>
        <w:pStyle w:val="Heading2"/>
        <w:rPr>
          <w:noProof/>
        </w:rPr>
      </w:pPr>
      <w:r>
        <w:rPr>
          <w:noProof/>
        </w:rPr>
        <w:t>Rapport en application de l’article 6, paragraphe 4, du statut concernant le groupe de fonctions AST/SC et les dispositions transitoires prévues à l’article 31 de l’annexe XIII relatives au groupe de fonctions AST</w:t>
      </w:r>
    </w:p>
    <w:p w:rsidR="00F8725A" w:rsidRDefault="00BE7D43">
      <w:pPr>
        <w:pStyle w:val="Heading3"/>
        <w:rPr>
          <w:noProof/>
        </w:rPr>
      </w:pPr>
      <w:r>
        <w:rPr>
          <w:noProof/>
        </w:rPr>
        <w:t>Carrières AST</w:t>
      </w:r>
    </w:p>
    <w:p w:rsidR="00F8725A" w:rsidRDefault="00BE7D43">
      <w:pPr>
        <w:rPr>
          <w:noProof/>
        </w:rPr>
      </w:pPr>
      <w:r>
        <w:rPr>
          <w:noProof/>
        </w:rPr>
        <w:t>La réforme de 2014 visait à remédier à certaines des conséquences des modifications apportées à la carrière des assistants généraux (AST) par la réforme de 2004. Cette dernière réforme a fusionné les catégories assistants, secrétaires et commis en un groupe de fonctions AST et a amélioré la progression de carrière linéaire par la promotion. En particulier, ces modifications ont déconnecté la rémunération et le grade du niveau de responsabilités</w:t>
      </w:r>
      <w:r>
        <w:rPr>
          <w:rStyle w:val="FootnoteReference"/>
          <w:noProof/>
          <w:lang w:val="en-IE"/>
        </w:rPr>
        <w:footnoteReference w:id="25"/>
      </w:r>
      <w:r>
        <w:rPr>
          <w:noProof/>
        </w:rPr>
        <w:t>.</w:t>
      </w:r>
    </w:p>
    <w:p w:rsidR="00F8725A" w:rsidRDefault="00BE7D43">
      <w:pPr>
        <w:rPr>
          <w:noProof/>
          <w:szCs w:val="24"/>
        </w:rPr>
      </w:pPr>
      <w:r>
        <w:rPr>
          <w:noProof/>
        </w:rPr>
        <w:t>Dans ce contexte, et conformément aux modifications instaurées dans la carrière AD</w:t>
      </w:r>
      <w:r>
        <w:rPr>
          <w:rStyle w:val="FootnoteReference"/>
          <w:noProof/>
          <w:szCs w:val="24"/>
          <w:lang w:val="en-IE"/>
        </w:rPr>
        <w:footnoteReference w:id="26"/>
      </w:r>
      <w:r>
        <w:rPr>
          <w:noProof/>
        </w:rPr>
        <w:t xml:space="preserve">, la réforme de 2014 a revu la structure des carrières du personnel AST afin de renforcer le lien entre le grade et la fonction. La progression de carrière par promotion est limitée au grade AST 9 et l’accès aux grades AST 10 et AST 11 est soumis à la condition de réussir une procédure de sélection pour un poste d’assistant confirmé, qui requiert le plus haut niveau d’expertise et de responsabilité dans cette catégorie. </w:t>
      </w:r>
    </w:p>
    <w:p w:rsidR="00F8725A" w:rsidRDefault="00BE7D43">
      <w:pPr>
        <w:rPr>
          <w:noProof/>
          <w:szCs w:val="24"/>
        </w:rPr>
      </w:pPr>
      <w:r>
        <w:rPr>
          <w:noProof/>
        </w:rPr>
        <w:t>Enfin, depuis 2014, les assistants ne sont plus recrutés pour les tâches de secrétariat et de bureau, pour lesquelles le groupe de fonctions AST/SC a été créé.</w:t>
      </w:r>
    </w:p>
    <w:p w:rsidR="00F8725A" w:rsidRDefault="00BE7D43">
      <w:pPr>
        <w:pStyle w:val="Heading3"/>
        <w:rPr>
          <w:noProof/>
        </w:rPr>
      </w:pPr>
      <w:r>
        <w:rPr>
          <w:noProof/>
        </w:rPr>
        <w:t>Groupe de fonctions AST/SC</w:t>
      </w:r>
    </w:p>
    <w:p w:rsidR="00F8725A" w:rsidRDefault="00BE7D43">
      <w:pPr>
        <w:rPr>
          <w:noProof/>
          <w:szCs w:val="24"/>
        </w:rPr>
      </w:pPr>
      <w:r>
        <w:rPr>
          <w:noProof/>
        </w:rPr>
        <w:t>Les fonctionnaires AST/SC sont chargés des tâches de bureau et de secrétariat, de gestion de bureau et d’autres tâches équivalentes, nécessitant un certain degré d’autonomie. Ce groupe de fonctions est constitué de six grades, allant du grade SC 1 au grade SC 6.</w:t>
      </w:r>
    </w:p>
    <w:p w:rsidR="00F8725A" w:rsidRDefault="00BE7D43">
      <w:pPr>
        <w:rPr>
          <w:noProof/>
          <w:szCs w:val="24"/>
        </w:rPr>
      </w:pPr>
      <w:r>
        <w:rPr>
          <w:noProof/>
        </w:rPr>
        <w:t xml:space="preserve">Avec la création du groupe de fonctions AST/SC par la réforme de 2014, les fonctions de secrétariat et de bureau ont été activement séparées du groupe de fonctions AST. En conséquence, le recrutement des secrétaires/commis s’est exclusivement déroulé au sein du groupe de fonctions AST/SC. </w:t>
      </w:r>
    </w:p>
    <w:p w:rsidR="00F8725A" w:rsidRDefault="00BE7D43">
      <w:pPr>
        <w:rPr>
          <w:noProof/>
          <w:szCs w:val="24"/>
        </w:rPr>
      </w:pPr>
      <w:r>
        <w:rPr>
          <w:noProof/>
        </w:rPr>
        <w:t>Au fil des années, plusieurs concours pour le personnel AST/SC ont été organisés et achevés. Les premiers fonctionnaires AST/SC ont été recrutés en 2015. L’institution a également organisé deux concours internes en 2016 et en 2018. Ces concours annonçaient la vacance de profils de secrétaires, commis et personnel d’appui administratif et financier dans les grades SC 1 ou SC 2.</w:t>
      </w:r>
    </w:p>
    <w:p w:rsidR="00F8725A" w:rsidRDefault="00BE7D43">
      <w:pPr>
        <w:pStyle w:val="Heading3"/>
        <w:rPr>
          <w:noProof/>
        </w:rPr>
      </w:pPr>
      <w:r>
        <w:rPr>
          <w:noProof/>
        </w:rPr>
        <w:t>Assistants en transition</w:t>
      </w:r>
    </w:p>
    <w:p w:rsidR="00F8725A" w:rsidRDefault="00BE7D43">
      <w:pPr>
        <w:rPr>
          <w:noProof/>
        </w:rPr>
      </w:pPr>
      <w:r>
        <w:rPr>
          <w:noProof/>
        </w:rPr>
        <w:t>Conformément à l’article 31, paragraphe 2, de l’annexe XIII du statut, un certain nombre de mesures transitoires ont été mises en vigueur à compter du 1</w:t>
      </w:r>
      <w:r>
        <w:rPr>
          <w:noProof/>
          <w:vertAlign w:val="superscript"/>
        </w:rPr>
        <w:t>er</w:t>
      </w:r>
      <w:r>
        <w:rPr>
          <w:noProof/>
        </w:rPr>
        <w:t> janvier 2014 pour le personnel AST recruté avant cette date. Ces mesures de transition ont été nécessaires pour appliquer les nouvelles règles tout en maintenant les droits acquis par les fonctionnaires qui étaient employés avant l’entrée en vigueur de ces modifications.</w:t>
      </w:r>
    </w:p>
    <w:p w:rsidR="00F8725A" w:rsidRDefault="00BE7D43">
      <w:pPr>
        <w:rPr>
          <w:noProof/>
          <w:szCs w:val="24"/>
        </w:rPr>
      </w:pPr>
      <w:r>
        <w:rPr>
          <w:noProof/>
        </w:rPr>
        <w:t>Dans le cadre de la réforme de 2014, les membres du personnel AST en service au 31 décembre 2013 à la Commission ont été classés comme suit</w:t>
      </w:r>
      <w:r>
        <w:rPr>
          <w:rStyle w:val="FootnoteReference"/>
          <w:noProof/>
          <w:szCs w:val="24"/>
          <w:lang w:val="en-IE"/>
        </w:rPr>
        <w:footnoteReference w:id="27"/>
      </w:r>
      <w:r>
        <w:rPr>
          <w:noProof/>
        </w:rPr>
        <w:t>:</w:t>
      </w:r>
    </w:p>
    <w:p w:rsidR="00F8725A" w:rsidRDefault="00BE7D43">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szCs w:val="24"/>
        </w:rPr>
        <w:t>les fonctionnaires se trouvant aux grades AST 10 et AST 11 ont été classés dans l’emploi type «assistant confirmé en transition»;</w:t>
      </w:r>
    </w:p>
    <w:p w:rsidR="00F8725A" w:rsidRDefault="00BE7D43">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szCs w:val="24"/>
        </w:rPr>
        <w:t>les fonctionnaires qui, avant le 1</w:t>
      </w:r>
      <w:r>
        <w:rPr>
          <w:rFonts w:ascii="Times New Roman" w:hAnsi="Times New Roman"/>
          <w:noProof/>
          <w:sz w:val="24"/>
          <w:szCs w:val="24"/>
          <w:vertAlign w:val="superscript"/>
        </w:rPr>
        <w:t>er</w:t>
      </w:r>
      <w:r>
        <w:rPr>
          <w:rFonts w:ascii="Times New Roman" w:hAnsi="Times New Roman"/>
          <w:noProof/>
          <w:sz w:val="24"/>
          <w:szCs w:val="24"/>
        </w:rPr>
        <w:t> mai 2004, étaient dans l’ancienne catégorie B, ou étaient dans l’ancienne catégorie C ou D et sont devenus membres sans restriction du groupe de fonctions AST, de même que les fonctionnaires recrutés après le 1</w:t>
      </w:r>
      <w:r>
        <w:rPr>
          <w:rFonts w:ascii="Times New Roman" w:hAnsi="Times New Roman"/>
          <w:noProof/>
          <w:sz w:val="24"/>
          <w:szCs w:val="24"/>
          <w:vertAlign w:val="superscript"/>
        </w:rPr>
        <w:t>er </w:t>
      </w:r>
      <w:r>
        <w:rPr>
          <w:rFonts w:ascii="Times New Roman" w:hAnsi="Times New Roman"/>
          <w:noProof/>
          <w:sz w:val="24"/>
          <w:szCs w:val="24"/>
        </w:rPr>
        <w:t>mai 2004, ont été classés dans l’emploi type «assistant en transition»;</w:t>
      </w:r>
    </w:p>
    <w:p w:rsidR="00F8725A" w:rsidRDefault="00BE7D43">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szCs w:val="24"/>
        </w:rPr>
        <w:t>les fonctionnaires qui, avant le 1</w:t>
      </w:r>
      <w:r>
        <w:rPr>
          <w:rFonts w:ascii="Times New Roman" w:hAnsi="Times New Roman"/>
          <w:noProof/>
          <w:sz w:val="24"/>
          <w:szCs w:val="24"/>
          <w:vertAlign w:val="superscript"/>
        </w:rPr>
        <w:t>er</w:t>
      </w:r>
      <w:r>
        <w:rPr>
          <w:rFonts w:ascii="Times New Roman" w:hAnsi="Times New Roman"/>
          <w:noProof/>
          <w:sz w:val="24"/>
          <w:szCs w:val="24"/>
        </w:rPr>
        <w:t> mai 2004, étaient dans l’ancienne catégorie C ont été classés dans l’emploi type «assistant administratif en transition»;</w:t>
      </w:r>
    </w:p>
    <w:p w:rsidR="00F8725A" w:rsidRDefault="00BE7D43">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szCs w:val="24"/>
        </w:rPr>
        <w:t>les fonctionnaires qui, avant le 1</w:t>
      </w:r>
      <w:r>
        <w:rPr>
          <w:rFonts w:ascii="Times New Roman" w:hAnsi="Times New Roman"/>
          <w:noProof/>
          <w:sz w:val="24"/>
          <w:szCs w:val="24"/>
          <w:vertAlign w:val="superscript"/>
        </w:rPr>
        <w:t>er</w:t>
      </w:r>
      <w:r>
        <w:rPr>
          <w:rFonts w:ascii="Times New Roman" w:hAnsi="Times New Roman"/>
          <w:noProof/>
          <w:sz w:val="24"/>
          <w:szCs w:val="24"/>
        </w:rPr>
        <w:t> mai 2004, étaient dans l’ancienne catégorie D ont été classés dans l’emploi type «agent d’appui en transition».</w:t>
      </w:r>
    </w:p>
    <w:p w:rsidR="00F8725A" w:rsidRDefault="00BE7D43">
      <w:pPr>
        <w:rPr>
          <w:b/>
          <w:noProof/>
          <w:szCs w:val="24"/>
        </w:rPr>
      </w:pPr>
      <w:r>
        <w:rPr>
          <w:noProof/>
        </w:rPr>
        <w:t xml:space="preserve">L’annexe 16 mentionne les chiffres pour chaque emploi type en transition. Depuis l’entrée en vigueur de la réforme de 2014, le nombre d’assistants en transition a été considérablement réduit grâce à la mise à la retraite progressive des membres du personnel en service au 31 décembre 2013 ou quittant la transition en postulant à une vacance d’emploi publiée. </w:t>
      </w:r>
    </w:p>
    <w:p w:rsidR="00F8725A" w:rsidRDefault="00BE7D43">
      <w:pPr>
        <w:pStyle w:val="Heading3"/>
        <w:rPr>
          <w:noProof/>
        </w:rPr>
      </w:pPr>
      <w:r>
        <w:rPr>
          <w:noProof/>
        </w:rPr>
        <w:t>Évolution du personnel AST et AST/SC</w:t>
      </w:r>
    </w:p>
    <w:p w:rsidR="00F8725A" w:rsidRDefault="00BE7D43">
      <w:pPr>
        <w:rPr>
          <w:noProof/>
          <w:szCs w:val="24"/>
        </w:rPr>
      </w:pPr>
      <w:r>
        <w:rPr>
          <w:noProof/>
        </w:rPr>
        <w:t xml:space="preserve">Au 31 décembre 2019, sur les 32 847 membres du personnel en activité de la Commission, 7 824 (24 %) étaient des fonctionnaires AST et des agents temporaires. En comparaison avec 2014, le nombre d’assistants a chuté de 24 %. D’autres institutions de l’Union ont également connu une diminution de leur population AST (annexe 17), bien qu’elles ne l’aient pas toutes subie dans la même mesure. </w:t>
      </w:r>
    </w:p>
    <w:p w:rsidR="00F8725A" w:rsidRDefault="00BE7D43">
      <w:pPr>
        <w:rPr>
          <w:noProof/>
          <w:szCs w:val="24"/>
        </w:rPr>
      </w:pPr>
      <w:r>
        <w:rPr>
          <w:noProof/>
        </w:rPr>
        <w:t xml:space="preserve">La diminution du nombre de fonctionnaires dans la catégorie AST résulte en partie de la création du groupe de fonctions AST/SC, qui a mis fin au recrutement d’assistants (AST) pour exécuter les tâches de bureau et de secrétariat, et de la réduction du nombre total de fonctions AST. Dans le contexte des réductions de personnel au cours de la période 2013-2017, les services de la Commission soumis à une diminution de leurs effectifs ont eu tendance à renoncer aux emplois AST en faveur des emplois AD. </w:t>
      </w:r>
    </w:p>
    <w:p w:rsidR="00F8725A" w:rsidRDefault="00BE7D43">
      <w:pPr>
        <w:rPr>
          <w:noProof/>
          <w:szCs w:val="24"/>
        </w:rPr>
      </w:pPr>
      <w:r>
        <w:rPr>
          <w:noProof/>
        </w:rPr>
        <w:t xml:space="preserve">Entre-temps, le personnel AST/SC s’est développé, représentant actuellement environ 10 % des populations AST et AST/SC combinées ou 2,7 % du personnel pris dans sa totalité (fonctionnaires et agents temporaires). </w:t>
      </w:r>
    </w:p>
    <w:p w:rsidR="00F8725A" w:rsidRDefault="00BE7D43">
      <w:pPr>
        <w:rPr>
          <w:noProof/>
          <w:szCs w:val="24"/>
        </w:rPr>
      </w:pPr>
      <w:r>
        <w:rPr>
          <w:noProof/>
        </w:rPr>
        <w:t xml:space="preserve">Au cours des six dernières années, la population des fonctionnaires dans les anciennes catégories C et D s’est également vue diminuer de plus de la moitié (55 %). Cette baisse est principalement due aux départs à la retraite. Seul un sixième des sorties environ concerne les fonctionnaires qui sont devenus membres sans restriction du groupe de fonctions AST, conformément à l’article 31, paragraphe 2, de l’annexe XIII du statut. </w:t>
      </w:r>
    </w:p>
    <w:p w:rsidR="00F8725A" w:rsidRDefault="00BE7D43">
      <w:pPr>
        <w:pStyle w:val="Heading1"/>
        <w:rPr>
          <w:noProof/>
        </w:rPr>
      </w:pPr>
      <w:r>
        <w:rPr>
          <w:noProof/>
        </w:rPr>
        <w:t>Acte délégué adopté par la Commission au titre du statut</w:t>
      </w:r>
    </w:p>
    <w:p w:rsidR="00F8725A" w:rsidRDefault="00BE7D43">
      <w:pPr>
        <w:rPr>
          <w:noProof/>
          <w:szCs w:val="24"/>
        </w:rPr>
      </w:pPr>
      <w:r>
        <w:rPr>
          <w:noProof/>
        </w:rPr>
        <w:t xml:space="preserve">En vertu des articles 111 et 112 du statut, la Commission est habilitée à adopter des actes délégués en ce qui concerne certains aspects des conditions de travail, la mise en œuvre des règles relatives aux rémunérations et le régime de sécurité sociale. </w:t>
      </w:r>
    </w:p>
    <w:p w:rsidR="00F8725A" w:rsidRDefault="00BE7D43">
      <w:pPr>
        <w:rPr>
          <w:noProof/>
        </w:rPr>
      </w:pPr>
      <w:r>
        <w:rPr>
          <w:noProof/>
        </w:rPr>
        <w:t>Premièrement, au cours de la période de référence, la Commission a effectivement réexaminé les montants des frais de mission dans les États membres de l’Union</w:t>
      </w:r>
      <w:r>
        <w:rPr>
          <w:rStyle w:val="FootnoteReference"/>
          <w:noProof/>
          <w:lang w:val="en-IE"/>
        </w:rPr>
        <w:footnoteReference w:id="28"/>
      </w:r>
      <w:r>
        <w:rPr>
          <w:noProof/>
        </w:rPr>
        <w:t xml:space="preserve"> par voie d’un acte délégué. Ce réexamen s’est appuyé sur un rapport d’Eurostat relatif à l’évolution des indices des prix des hôtels, des restaurants et des services de restauration. </w:t>
      </w:r>
    </w:p>
    <w:p w:rsidR="00F8725A" w:rsidRDefault="00BE7D43">
      <w:pPr>
        <w:rPr>
          <w:noProof/>
          <w:szCs w:val="24"/>
        </w:rPr>
      </w:pPr>
      <w:r>
        <w:rPr>
          <w:noProof/>
        </w:rPr>
        <w:t>L’adoption de l’acte délégué a suivi la procédure énoncée dans la convention d’entente entre le Parlement européen, le Conseil et la Commission sur les actes délégués</w:t>
      </w:r>
      <w:r>
        <w:rPr>
          <w:rStyle w:val="FootnoteReference"/>
          <w:noProof/>
          <w:szCs w:val="24"/>
          <w:lang w:val="en-IE"/>
        </w:rPr>
        <w:footnoteReference w:id="29"/>
      </w:r>
      <w:r>
        <w:rPr>
          <w:noProof/>
        </w:rPr>
        <w:t xml:space="preserve">, y compris des consultations informelles d’experts statistiques et budgétaires des États membres et de l’administration du Parlement européen. </w:t>
      </w:r>
    </w:p>
    <w:p w:rsidR="00F8725A" w:rsidRDefault="00BE7D43">
      <w:pPr>
        <w:rPr>
          <w:noProof/>
          <w:szCs w:val="24"/>
        </w:rPr>
      </w:pPr>
      <w:r>
        <w:rPr>
          <w:noProof/>
        </w:rPr>
        <w:t>L’adoption effective du règlement délégué (UE) 2016/1611 de la Commission</w:t>
      </w:r>
      <w:r>
        <w:rPr>
          <w:noProof/>
          <w:szCs w:val="24"/>
          <w:vertAlign w:val="superscript"/>
          <w:lang w:val="en-IE"/>
        </w:rPr>
        <w:footnoteReference w:id="30"/>
      </w:r>
      <w:r>
        <w:rPr>
          <w:noProof/>
        </w:rPr>
        <w:t xml:space="preserve"> a constitué le premier réexamen, par voie d’un règlement délégué de la Commission</w:t>
      </w:r>
      <w:r>
        <w:rPr>
          <w:noProof/>
          <w:szCs w:val="24"/>
          <w:vertAlign w:val="superscript"/>
          <w:lang w:val="en-IE"/>
        </w:rPr>
        <w:footnoteReference w:id="31"/>
      </w:r>
      <w:r>
        <w:rPr>
          <w:noProof/>
        </w:rPr>
        <w:t>, des montants des frais de mission depuis 2005</w:t>
      </w:r>
      <w:r>
        <w:rPr>
          <w:rStyle w:val="FootnoteReference"/>
          <w:noProof/>
          <w:szCs w:val="24"/>
          <w:lang w:val="en-IE"/>
        </w:rPr>
        <w:footnoteReference w:id="32"/>
      </w:r>
      <w:r>
        <w:rPr>
          <w:noProof/>
        </w:rPr>
        <w:t>.</w:t>
      </w:r>
    </w:p>
    <w:p w:rsidR="00F8725A" w:rsidRDefault="00BE7D43">
      <w:pPr>
        <w:rPr>
          <w:noProof/>
        </w:rPr>
      </w:pPr>
      <w:r>
        <w:rPr>
          <w:noProof/>
        </w:rPr>
        <w:t>Deuxièmement, la Commission a également songé à exercer ses pouvoirs délégués dans le domaine de la sécurité sociale aux fins d'une éventuelle augmentation des contributions au Fonds de chômage pour les membres du personnel au titre du RAA</w:t>
      </w:r>
      <w:r>
        <w:rPr>
          <w:rStyle w:val="FootnoteReference"/>
          <w:noProof/>
          <w:lang w:val="en-IE"/>
        </w:rPr>
        <w:footnoteReference w:id="33"/>
      </w:r>
      <w:r>
        <w:rPr>
          <w:noProof/>
        </w:rPr>
        <w:t>. L’amélioration ultérieure de la situation financière du Fonds a rendu cette adoption inutile.</w:t>
      </w:r>
    </w:p>
    <w:p w:rsidR="00F8725A" w:rsidRDefault="00BE7D43">
      <w:pPr>
        <w:pStyle w:val="Heading1"/>
        <w:rPr>
          <w:noProof/>
        </w:rPr>
      </w:pPr>
      <w:r>
        <w:rPr>
          <w:noProof/>
        </w:rPr>
        <w:t xml:space="preserve">Règles d’exécution adoptées par la Commission et par d’autres institutions </w:t>
      </w:r>
    </w:p>
    <w:p w:rsidR="00F8725A" w:rsidRDefault="00BE7D43">
      <w:pPr>
        <w:pStyle w:val="Heading2"/>
        <w:rPr>
          <w:noProof/>
        </w:rPr>
      </w:pPr>
      <w:r>
        <w:rPr>
          <w:noProof/>
        </w:rPr>
        <w:t xml:space="preserve">Règles d’exécution adoptées par la Commission et par d’autres institutions </w:t>
      </w:r>
    </w:p>
    <w:p w:rsidR="00F8725A" w:rsidRDefault="00BE7D43">
      <w:pPr>
        <w:rPr>
          <w:noProof/>
        </w:rPr>
      </w:pPr>
      <w:r>
        <w:rPr>
          <w:noProof/>
        </w:rPr>
        <w:t>Chaque institution de l’Union dispose d’un certain niveau d’autonomie en ce qui concerne l’application du statut et du RAA à son personnel. Dans le cadre de la réforme du statut de 2014, le colégislateur a harmonisé le cadre législatif et renforcé la gouvernance</w:t>
      </w:r>
      <w:r>
        <w:rPr>
          <w:rStyle w:val="FootnoteReference"/>
          <w:noProof/>
          <w:lang w:val="en-IE"/>
        </w:rPr>
        <w:footnoteReference w:id="34"/>
      </w:r>
      <w:r>
        <w:rPr>
          <w:noProof/>
        </w:rPr>
        <w:t xml:space="preserve">, notamment en instaurant une obligation pour la Commission de présenter un rapport sur les règles d’exécution du statut et du RAA adoptées par l’autorité investie du pouvoir de nomination, sur la base de l’article 110, paragraphe 6, du statut. </w:t>
      </w:r>
    </w:p>
    <w:p w:rsidR="00F8725A" w:rsidRDefault="00BE7D43">
      <w:pPr>
        <w:rPr>
          <w:noProof/>
        </w:rPr>
      </w:pPr>
      <w:r>
        <w:rPr>
          <w:noProof/>
        </w:rPr>
        <w:t>La Commission a adopté en 2017 un premier rapport couvrant la période comprise entre le 1</w:t>
      </w:r>
      <w:r>
        <w:rPr>
          <w:noProof/>
          <w:vertAlign w:val="superscript"/>
        </w:rPr>
        <w:t>er</w:t>
      </w:r>
      <w:r>
        <w:rPr>
          <w:noProof/>
        </w:rPr>
        <w:t> janvier 2014 et le 31 décembre 2016, soulignant que les institutions respectaient le cadre juridique et utilisaient leur pouvoir pour adopter des règles d’exécution du statut et du RAA.</w:t>
      </w:r>
    </w:p>
    <w:p w:rsidR="00F8725A" w:rsidRDefault="00BE7D43">
      <w:pPr>
        <w:rPr>
          <w:noProof/>
        </w:rPr>
      </w:pPr>
      <w:r>
        <w:rPr>
          <w:noProof/>
        </w:rPr>
        <w:t>L’évaluation de la période allant du 1</w:t>
      </w:r>
      <w:r>
        <w:rPr>
          <w:noProof/>
          <w:vertAlign w:val="superscript"/>
        </w:rPr>
        <w:t>er</w:t>
      </w:r>
      <w:r>
        <w:rPr>
          <w:noProof/>
        </w:rPr>
        <w:t> janvier 2017 au 31 décembre 2019 fait l’objet d’un autre rapport de la Commission, qui est en cours d’adoption parallèlement au présent rapport</w:t>
      </w:r>
      <w:r>
        <w:rPr>
          <w:rStyle w:val="FootnoteReference"/>
          <w:noProof/>
          <w:lang w:val="en-IE"/>
        </w:rPr>
        <w:footnoteReference w:id="35"/>
      </w:r>
      <w:r>
        <w:rPr>
          <w:noProof/>
        </w:rPr>
        <w:t>.</w:t>
      </w:r>
    </w:p>
    <w:p w:rsidR="00F8725A" w:rsidRDefault="00BE7D43">
      <w:pPr>
        <w:pStyle w:val="Heading2"/>
        <w:rPr>
          <w:noProof/>
        </w:rPr>
      </w:pPr>
      <w:r>
        <w:rPr>
          <w:noProof/>
        </w:rPr>
        <w:t>Règles d’exécution adoptées par les agences</w:t>
      </w:r>
    </w:p>
    <w:p w:rsidR="00F8725A" w:rsidRDefault="00BE7D43">
      <w:pPr>
        <w:rPr>
          <w:noProof/>
        </w:rPr>
      </w:pPr>
      <w:r>
        <w:rPr>
          <w:noProof/>
        </w:rPr>
        <w:t>Avant la réforme de 2014, les agences bénéficiaient, en vertu de l’article 110, paragraphe 1, du statut, d’un certain niveau d’autonomie dans l’adoption des règles d’exécution du statut et du RAA. La réforme de 2014 met en place un nouveau cadre pour l’adoption de règles d’exécution du statut par les agences visant à garantir leur cohérence.</w:t>
      </w:r>
    </w:p>
    <w:p w:rsidR="00F8725A" w:rsidRDefault="00BE7D43">
      <w:pPr>
        <w:rPr>
          <w:noProof/>
          <w:szCs w:val="24"/>
        </w:rPr>
      </w:pPr>
      <w:r>
        <w:rPr>
          <w:noProof/>
        </w:rPr>
        <w:t>L’article 110, paragraphe 2, du statut a introduit le principe général selon lequel les règles d’exécution du statut qui sont adoptées par la Commission s’appliquent par analogie aux agences. À titre d’exception, une agence peut, après avoir consulté son comité du personnel et après avoir reçu l’accord de la Commission, décider d’adopter des décisions individuelles visant soit à ne pas appliquer certaines règles de la Commission (</w:t>
      </w:r>
      <w:r>
        <w:rPr>
          <w:i/>
          <w:noProof/>
        </w:rPr>
        <w:t>opt-out</w:t>
      </w:r>
      <w:r>
        <w:rPr>
          <w:noProof/>
        </w:rPr>
        <w:t xml:space="preserve">), soit à adopter des règles qui diffèrent de celles de la Commission, soit à adopter des règles qui concernent d’autres sujets que ceux couverts par les règles adoptées par la Commission. </w:t>
      </w:r>
    </w:p>
    <w:p w:rsidR="00F8725A" w:rsidRDefault="00BE7D43">
      <w:pPr>
        <w:rPr>
          <w:noProof/>
          <w:szCs w:val="24"/>
        </w:rPr>
      </w:pPr>
      <w:r>
        <w:rPr>
          <w:noProof/>
        </w:rPr>
        <w:t>La Commission a aussi élaboré un mécanisme lui permettant de communiquer son accord horizontal aux agences sans que ces dernières ne soient tenues de lui soumettre une demande formelle (accord ex ante)</w:t>
      </w:r>
      <w:r>
        <w:rPr>
          <w:rStyle w:val="FootnoteReference"/>
          <w:noProof/>
          <w:szCs w:val="24"/>
          <w:lang w:val="en-IE"/>
        </w:rPr>
        <w:footnoteReference w:id="36"/>
      </w:r>
      <w:r>
        <w:rPr>
          <w:noProof/>
        </w:rPr>
        <w:t xml:space="preserve">. Ces décisions types approuvées par la Commission et destinées à l’ensemble des agences ou à un groupe d’agences sont utilisées lorsqu’il est justifié qu’un nombre significatif d’agences dérogent à l’application par analogie des règles de la Commission, à savoir </w:t>
      </w:r>
      <w:r>
        <w:rPr>
          <w:i/>
          <w:noProof/>
        </w:rPr>
        <w:t>opt-out</w:t>
      </w:r>
      <w:r>
        <w:rPr>
          <w:noProof/>
        </w:rPr>
        <w:t>, modification des règles ou adoption de règles qui concernent d’autres sujets que ceux couverts par les règles adoptées par la Commission</w:t>
      </w:r>
      <w:r>
        <w:rPr>
          <w:rStyle w:val="FootnoteReference"/>
          <w:noProof/>
          <w:szCs w:val="24"/>
          <w:lang w:val="en-IE"/>
        </w:rPr>
        <w:footnoteReference w:id="37"/>
      </w:r>
      <w:r>
        <w:rPr>
          <w:noProof/>
        </w:rPr>
        <w:t xml:space="preserve">. </w:t>
      </w:r>
    </w:p>
    <w:p w:rsidR="00F8725A" w:rsidRDefault="00BE7D43">
      <w:pPr>
        <w:rPr>
          <w:noProof/>
        </w:rPr>
      </w:pPr>
      <w:r>
        <w:rPr>
          <w:noProof/>
        </w:rPr>
        <w:t>Au cours de la période 2014-2019, une cohérence accrue des règles d’exécution dans l’ensemble des agences a pu être observée. Les annexes 18 et 19 donnent un aperçu du nombre et des types de règles d’exécution qui étaient applicables dans les agences au 31 décembre 2019.</w:t>
      </w:r>
    </w:p>
    <w:p w:rsidR="00F8725A" w:rsidRDefault="00BE7D43">
      <w:pPr>
        <w:pStyle w:val="Heading1"/>
        <w:rPr>
          <w:noProof/>
        </w:rPr>
      </w:pPr>
      <w:r>
        <w:rPr>
          <w:noProof/>
        </w:rPr>
        <w:t>Partenaires du dialogue social</w:t>
      </w:r>
    </w:p>
    <w:p w:rsidR="00F8725A" w:rsidRDefault="00BE7D43">
      <w:pPr>
        <w:rPr>
          <w:noProof/>
        </w:rPr>
      </w:pPr>
      <w:r>
        <w:rPr>
          <w:noProof/>
        </w:rPr>
        <w:t>Les articles 9 et 10 du statut organisent la participation du personnel à différents niveaux (à savoir comité du personnel, commissions paritaires et organisations syndicales), assurant ainsi l’efficacité du processus de dialogue social. Le comité du personnel de la Commission et l’administration communiquent régulièrement l’un avec l’autre pour s’assurer que les règles concernant le personnel établies par la Commission sont pleinement respectées et que l’expérience du personnel est transmise à l’administration. En outre, la mise en œuvre du statut et l’adoption des décisions concernant le personnel font également l’objet de discussion avec les représentants du personnel aux étapes successives du dialogue social (annexe 20). En ce qui concerne les règles générales d’exécution, le statut prévoit la consultation du comité du statut, lors de laquelle ont lieu des discussions entre les représentants du personnel et les membres des administrations des institutions (annexe 21).</w:t>
      </w:r>
    </w:p>
    <w:p w:rsidR="00F8725A" w:rsidRDefault="00BE7D43">
      <w:pPr>
        <w:pStyle w:val="Heading1"/>
        <w:rPr>
          <w:noProof/>
        </w:rPr>
      </w:pPr>
      <w:r>
        <w:rPr>
          <w:noProof/>
        </w:rPr>
        <w:t xml:space="preserve">Évaluation par d’autres institutions de l’Union de l’exécution du statut </w:t>
      </w:r>
    </w:p>
    <w:p w:rsidR="00F8725A" w:rsidRDefault="00BE7D43">
      <w:pPr>
        <w:pStyle w:val="Text1"/>
        <w:ind w:left="0"/>
        <w:rPr>
          <w:noProof/>
        </w:rPr>
      </w:pPr>
      <w:r>
        <w:rPr>
          <w:noProof/>
        </w:rPr>
        <w:t xml:space="preserve">Au cours de la période de référence, plusieurs institutions de l’Union ont évalué différents aspects de l’exécution du statut. </w:t>
      </w:r>
    </w:p>
    <w:p w:rsidR="00F8725A" w:rsidRDefault="00BE7D43">
      <w:pPr>
        <w:pStyle w:val="Heading2"/>
        <w:rPr>
          <w:noProof/>
          <w:szCs w:val="24"/>
        </w:rPr>
      </w:pPr>
      <w:r>
        <w:rPr>
          <w:noProof/>
        </w:rPr>
        <w:t xml:space="preserve">Cour des comptes européenne </w:t>
      </w:r>
    </w:p>
    <w:p w:rsidR="00F8725A" w:rsidRDefault="00BE7D43">
      <w:pPr>
        <w:pStyle w:val="Text1"/>
        <w:ind w:left="0"/>
        <w:rPr>
          <w:noProof/>
          <w:szCs w:val="24"/>
        </w:rPr>
      </w:pPr>
      <w:r>
        <w:rPr>
          <w:noProof/>
        </w:rPr>
        <w:t>La Cour des comptes européenne a adopté deux rapports spéciaux concernant la mise en œuvre du statut</w:t>
      </w:r>
      <w:r>
        <w:rPr>
          <w:noProof/>
          <w:vertAlign w:val="superscript"/>
          <w:lang w:val="en-IE"/>
        </w:rPr>
        <w:footnoteReference w:id="38"/>
      </w:r>
      <w:r>
        <w:rPr>
          <w:noProof/>
        </w:rPr>
        <w:t>.</w:t>
      </w:r>
    </w:p>
    <w:p w:rsidR="00F8725A" w:rsidRDefault="00BE7D43">
      <w:pPr>
        <w:pStyle w:val="Heading3"/>
        <w:tabs>
          <w:tab w:val="clear" w:pos="1854"/>
          <w:tab w:val="num" w:pos="1372"/>
        </w:tabs>
        <w:ind w:left="1372"/>
        <w:rPr>
          <w:noProof/>
        </w:rPr>
      </w:pPr>
      <w:r>
        <w:rPr>
          <w:noProof/>
        </w:rPr>
        <w:t>Rapport spécial nº 13/2019 intitulé «Les cadres éthiques des institutions de l’UE auditées: des améliorations sont possibles»</w:t>
      </w:r>
    </w:p>
    <w:p w:rsidR="00F8725A" w:rsidRDefault="00BE7D43">
      <w:pPr>
        <w:pStyle w:val="Text2"/>
        <w:ind w:left="0"/>
        <w:rPr>
          <w:noProof/>
        </w:rPr>
      </w:pPr>
      <w:r>
        <w:rPr>
          <w:noProof/>
        </w:rPr>
        <w:t xml:space="preserve">La Cour des comptes a adopté un rapport sur le cadre éthique des institutions de l’Union. L’audit a ciblé les règles applicables autant aux membres des institutions de l’Union qu’aux agents. Il a été conclu dans le rapport que les institutions auditées avaient mis en place des cadres éthiques adéquats. La Cour a également mis en évidence certains domaines dans lesquels la portée, la spécificité, la clarté et la qualité des orientations pourraient être améliorées et harmonisées. </w:t>
      </w:r>
    </w:p>
    <w:p w:rsidR="00F8725A" w:rsidRDefault="00BE7D43">
      <w:pPr>
        <w:pStyle w:val="Text2"/>
        <w:ind w:left="0"/>
        <w:rPr>
          <w:noProof/>
        </w:rPr>
      </w:pPr>
      <w:r>
        <w:rPr>
          <w:noProof/>
        </w:rPr>
        <w:t xml:space="preserve">Dans le rapport, la Cour a aussi indiqué la possibilité de partager les bonnes pratiques entre les institutions au sujet des questions éthiques. Ce partage se déroule régulièrement à l’occasion du collège des chefs d’administration et, plus récemment, dans le cadre de la stratégie antifraude de la Commission. </w:t>
      </w:r>
    </w:p>
    <w:p w:rsidR="00F8725A" w:rsidRDefault="00BE7D43">
      <w:pPr>
        <w:pStyle w:val="Heading3"/>
        <w:tabs>
          <w:tab w:val="clear" w:pos="1854"/>
          <w:tab w:val="num" w:pos="1372"/>
        </w:tabs>
        <w:ind w:left="1372"/>
        <w:rPr>
          <w:noProof/>
        </w:rPr>
      </w:pPr>
      <w:r>
        <w:rPr>
          <w:noProof/>
        </w:rPr>
        <w:t>Rapport spécial nº 15/2019 – «Mise en œuvre, à la Commission, de la révision 2014 du statut et des mesures y afférentes – Des économies substantielles, mais non sans conséquences pour le personnel»</w:t>
      </w:r>
    </w:p>
    <w:p w:rsidR="00F8725A" w:rsidRDefault="00BE7D43">
      <w:pPr>
        <w:pStyle w:val="Text1"/>
        <w:ind w:left="0"/>
        <w:rPr>
          <w:noProof/>
          <w:szCs w:val="24"/>
        </w:rPr>
      </w:pPr>
      <w:r>
        <w:rPr>
          <w:noProof/>
        </w:rPr>
        <w:t>Dans ce rapport spécial, la Cour des comptes a examiné la mise en œuvre de la réforme de 2014 et la manière dont la Commission a relevé le défi du double objectif consistant à réaliser des économies budgétaires et à améliorer la situation en matière de ressources humaines</w:t>
      </w:r>
      <w:r>
        <w:rPr>
          <w:rStyle w:val="FootnoteReference"/>
          <w:noProof/>
          <w:lang w:val="en-IE"/>
        </w:rPr>
        <w:footnoteReference w:id="39"/>
      </w:r>
      <w:r>
        <w:rPr>
          <w:noProof/>
        </w:rPr>
        <w:t xml:space="preserve">. </w:t>
      </w:r>
    </w:p>
    <w:p w:rsidR="00F8725A" w:rsidRDefault="00BE7D43">
      <w:pPr>
        <w:pStyle w:val="Text1"/>
        <w:spacing w:after="120"/>
        <w:ind w:left="0"/>
        <w:rPr>
          <w:noProof/>
        </w:rPr>
      </w:pPr>
      <w:r>
        <w:rPr>
          <w:noProof/>
        </w:rPr>
        <w:t xml:space="preserve">La Cour a confirmé que les économies ont été réalisées et ont même été supérieures aux montants convenus. Elle a également observé que des conséquences négatives pour les services et le personnel auraient pu être évitées ou atténuées plus tôt si la réforme de 2014 avait fait l’objet d’une meilleure préparation et d’un suivi plus rigoureux. En outre, la Cour a souligné que la poursuite des réformes pouvait causer de graves problèmes dans les domaines des connaissances et de la continuité des activités et mettre encore plus à mal l’équilibre géographique du personnel. </w:t>
      </w:r>
    </w:p>
    <w:p w:rsidR="00F8725A" w:rsidRDefault="00BE7D43">
      <w:pPr>
        <w:pStyle w:val="Text1"/>
        <w:spacing w:after="120"/>
        <w:ind w:left="0"/>
        <w:rPr>
          <w:noProof/>
        </w:rPr>
      </w:pPr>
      <w:r>
        <w:rPr>
          <w:noProof/>
        </w:rPr>
        <w:t xml:space="preserve">Enfin, la Cour a recommandé d’élaborer un plan de gestion des effectifs, d’améliorer le cadre de suivi et d’établissement de rapports en matière de ressources humaines et de procéder à une évaluation des besoins et des impacts potentiels avant toute révision ultérieure du statut. </w:t>
      </w:r>
    </w:p>
    <w:p w:rsidR="00F8725A" w:rsidRDefault="00BE7D43">
      <w:pPr>
        <w:pStyle w:val="Heading2"/>
        <w:rPr>
          <w:noProof/>
          <w:szCs w:val="24"/>
        </w:rPr>
      </w:pPr>
      <w:r>
        <w:rPr>
          <w:noProof/>
        </w:rPr>
        <w:t xml:space="preserve">Médiateur européen </w:t>
      </w:r>
    </w:p>
    <w:p w:rsidR="00F8725A" w:rsidRDefault="00BE7D43">
      <w:pPr>
        <w:pStyle w:val="Text1"/>
        <w:spacing w:after="120"/>
        <w:ind w:left="0"/>
        <w:rPr>
          <w:noProof/>
        </w:rPr>
      </w:pPr>
      <w:r>
        <w:rPr>
          <w:noProof/>
        </w:rPr>
        <w:t>Le Médiateur européen</w:t>
      </w:r>
      <w:r>
        <w:rPr>
          <w:rStyle w:val="FootnoteReference"/>
          <w:noProof/>
          <w:lang w:val="en-IE"/>
        </w:rPr>
        <w:footnoteReference w:id="40"/>
      </w:r>
      <w:r>
        <w:rPr>
          <w:noProof/>
        </w:rPr>
        <w:t xml:space="preserve"> évalue régulièrement l’application du statut par les institutions à la lumière de certaines affaires; il peut constater des cas de mauvaise administration et émettre des recommandations à l’institution concernée et, lorsqu’aucun cas de mauvaise administration ne peut être trouvé, soumettre des propositions de solution ou des suggestions d’amélioration. Les enquêtes et les demandes de clarification du Médiateur européen traitent de divers sujets, tels que la transparence et l’accès à l’information, le traitement des personnes handicapées, les politiques antiharcèlement ou le suivi des activités extérieures exercées par d’anciens membres du personnel.</w:t>
      </w:r>
    </w:p>
    <w:p w:rsidR="00F8725A" w:rsidRDefault="00BE7D43">
      <w:pPr>
        <w:pStyle w:val="Text1"/>
        <w:spacing w:after="120"/>
        <w:ind w:left="0"/>
        <w:rPr>
          <w:noProof/>
        </w:rPr>
      </w:pPr>
      <w:r>
        <w:rPr>
          <w:noProof/>
        </w:rPr>
        <w:t>À titre d’exemple, la Médiatrice a ouvert deux enquêtes sur le phénomène dit du «pantouflage» en 2013 et en 2017. Ces deux enquêtes ont été closes en saluant l’approche coopérative adoptée par la Commission et les progrès accomplis sur les aspects couverts par ces enquêtes, tout en formulant un certain nombre de suggestions d’amélioration à la suite de la première enquête et des suggestions techniques à la suite de la seconde. La Commission a reconnu que ces suggestions constituaient une contribution précieuse à la discussion générale sur la prévention des situations de conflit d’intérêts et a envisagé de prendre en considération les suggestions sur la manière d’améliorer davantage son système dans le cadre juridique pertinent et applicable.</w:t>
      </w:r>
    </w:p>
    <w:p w:rsidR="00F8725A" w:rsidRDefault="00BE7D43">
      <w:pPr>
        <w:pStyle w:val="Text1"/>
        <w:spacing w:after="120"/>
        <w:ind w:left="0"/>
        <w:rPr>
          <w:noProof/>
        </w:rPr>
      </w:pPr>
      <w:r>
        <w:rPr>
          <w:noProof/>
        </w:rPr>
        <w:t>Le Médiateur européen se penche également sur d’autres questions liées à l’exécution du statut par l’ensemble des institutions, organes et organismes. Par exemple, la Médiatrice a clôturé une initiative stratégique sur les droits de congé de certains membres du personnel de l’Union et l’intérêt supérieur de l’enfant (SI/1/2019/AMF)</w:t>
      </w:r>
      <w:r>
        <w:rPr>
          <w:rStyle w:val="FootnoteReference"/>
          <w:noProof/>
          <w:lang w:val="en-IE"/>
        </w:rPr>
        <w:footnoteReference w:id="41"/>
      </w:r>
      <w:r>
        <w:rPr>
          <w:noProof/>
        </w:rPr>
        <w:t>.</w:t>
      </w:r>
    </w:p>
    <w:p w:rsidR="00F8725A" w:rsidRDefault="00F8725A">
      <w:pPr>
        <w:pStyle w:val="Text1"/>
        <w:spacing w:after="120"/>
        <w:ind w:left="0"/>
        <w:rPr>
          <w:noProof/>
          <w:lang w:val="fr-BE"/>
        </w:rPr>
      </w:pPr>
    </w:p>
    <w:p w:rsidR="00F8725A" w:rsidRDefault="00BE7D43">
      <w:pPr>
        <w:pStyle w:val="Heading2"/>
        <w:rPr>
          <w:noProof/>
        </w:rPr>
      </w:pPr>
      <w:r>
        <w:rPr>
          <w:noProof/>
        </w:rPr>
        <w:t xml:space="preserve">Procédure de décharge du Parlement européen </w:t>
      </w:r>
    </w:p>
    <w:p w:rsidR="00F8725A" w:rsidRDefault="00BE7D43">
      <w:pPr>
        <w:rPr>
          <w:noProof/>
          <w:szCs w:val="24"/>
        </w:rPr>
      </w:pPr>
      <w:r>
        <w:rPr>
          <w:noProof/>
        </w:rPr>
        <w:t xml:space="preserve">Dans le cadre de la procédure de décharge, la commission budgétaire du Parlement européen présente chaque année plusieurs recommandations concernant notamment le fonctionnement du statut dans toutes les institutions. </w:t>
      </w:r>
    </w:p>
    <w:p w:rsidR="00F8725A" w:rsidRDefault="00BE7D43">
      <w:pPr>
        <w:rPr>
          <w:noProof/>
          <w:szCs w:val="24"/>
        </w:rPr>
      </w:pPr>
      <w:r>
        <w:rPr>
          <w:noProof/>
        </w:rPr>
        <w:t xml:space="preserve">Le processus d’adoption de ces recommandations par le Parlement européen sur divers sujets a permis à la Commission d’expliquer chaque année l’application du statut et sa politique en matière de ressources humaines. </w:t>
      </w:r>
    </w:p>
    <w:p w:rsidR="00F8725A" w:rsidRDefault="00BE7D43">
      <w:pPr>
        <w:rPr>
          <w:noProof/>
          <w:szCs w:val="24"/>
        </w:rPr>
      </w:pPr>
      <w:r>
        <w:rPr>
          <w:noProof/>
        </w:rPr>
        <w:t>Par le passé, la Commission a déjà mis en œuvre les recommandations émises dans la décharge de la commission budgétaire du Parlement européen concernant des questions telles que les procédures de traitement des membres du personnel dont la performance est insuffisante, la gestion des cas de dénonciation des dysfonctionnements, la mobilité interne des responsables et l’absence de représentation paritaire des hommes et des femmes aux postes de direction. Plus récemment, la Commission a tenu compte des questions soulevées dans les décisions de décharge sur divers sujets clés</w:t>
      </w:r>
      <w:r>
        <w:rPr>
          <w:rStyle w:val="FootnoteReference"/>
          <w:noProof/>
          <w:szCs w:val="24"/>
          <w:lang w:val="en-IE"/>
        </w:rPr>
        <w:footnoteReference w:id="42"/>
      </w:r>
      <w:r>
        <w:rPr>
          <w:noProof/>
        </w:rPr>
        <w:t>.</w:t>
      </w:r>
    </w:p>
    <w:p w:rsidR="00F8725A" w:rsidRDefault="00BE7D43">
      <w:pPr>
        <w:pStyle w:val="Heading2"/>
        <w:rPr>
          <w:noProof/>
        </w:rPr>
      </w:pPr>
      <w:r>
        <w:rPr>
          <w:noProof/>
        </w:rPr>
        <w:t xml:space="preserve">Conclusions du Conseil sur les sujets étudiés au sein du groupe «Statut» </w:t>
      </w:r>
    </w:p>
    <w:p w:rsidR="00F8725A" w:rsidRDefault="00BE7D43">
      <w:pPr>
        <w:pStyle w:val="Text2"/>
        <w:ind w:left="0"/>
        <w:rPr>
          <w:noProof/>
        </w:rPr>
      </w:pPr>
      <w:r>
        <w:rPr>
          <w:noProof/>
        </w:rPr>
        <w:t>Dans le cadre des conclusions du Conseil visant l’amélioration de l’examen de rapports spéciaux établis par la Cour des comptes</w:t>
      </w:r>
      <w:r>
        <w:rPr>
          <w:rStyle w:val="FootnoteReference"/>
          <w:noProof/>
          <w:lang w:val="en-IE"/>
        </w:rPr>
        <w:footnoteReference w:id="43"/>
      </w:r>
      <w:r>
        <w:rPr>
          <w:noProof/>
        </w:rPr>
        <w:t>, le Conseil s’est engagé à formuler des conclusions</w:t>
      </w:r>
      <w:r>
        <w:rPr>
          <w:rStyle w:val="FootnoteReference"/>
          <w:noProof/>
          <w:lang w:val="en-IE"/>
        </w:rPr>
        <w:footnoteReference w:id="44"/>
      </w:r>
      <w:r>
        <w:rPr>
          <w:noProof/>
        </w:rPr>
        <w:t xml:space="preserve"> en s’appuyant sur les rapports spéciaux de la Cour des comptes européenne, en incluant au besoin des propositions sur toute action ultérieure qui semble appropriée. </w:t>
      </w:r>
    </w:p>
    <w:p w:rsidR="00F8725A" w:rsidRDefault="00BE7D43">
      <w:pPr>
        <w:pStyle w:val="Text2"/>
        <w:ind w:left="0"/>
        <w:rPr>
          <w:noProof/>
        </w:rPr>
      </w:pPr>
      <w:r>
        <w:rPr>
          <w:noProof/>
        </w:rPr>
        <w:t>Au cours de la période de référence, le Conseil a adopté trois conclusions, dont deux sont relatives aux rapports de la Cour des comptes</w:t>
      </w:r>
      <w:r>
        <w:rPr>
          <w:rStyle w:val="FootnoteReference"/>
          <w:noProof/>
          <w:lang w:val="en-IE"/>
        </w:rPr>
        <w:footnoteReference w:id="45"/>
      </w:r>
      <w:r>
        <w:rPr>
          <w:noProof/>
        </w:rPr>
        <w:t>. Les conclusions du Conseil adoptées au cours de la période de référence concernaient la politique en matière d’éthique au sein de la Commission</w:t>
      </w:r>
      <w:r>
        <w:rPr>
          <w:rStyle w:val="FootnoteReference"/>
          <w:noProof/>
          <w:lang w:val="en-IE"/>
        </w:rPr>
        <w:footnoteReference w:id="46"/>
      </w:r>
      <w:r>
        <w:rPr>
          <w:noProof/>
        </w:rPr>
        <w:t>, le rapport de la Cour des comptes sur la mise en œuvre du statut</w:t>
      </w:r>
      <w:r>
        <w:rPr>
          <w:rStyle w:val="FootnoteReference"/>
          <w:noProof/>
          <w:lang w:val="en-IE"/>
        </w:rPr>
        <w:footnoteReference w:id="47"/>
      </w:r>
      <w:r>
        <w:rPr>
          <w:noProof/>
        </w:rPr>
        <w:t xml:space="preserve"> et l’étude d’Eurostat sur les incidences budgétaires à long terme du coût des pensions de l’UE</w:t>
      </w:r>
      <w:r>
        <w:rPr>
          <w:rStyle w:val="FootnoteReference"/>
          <w:noProof/>
          <w:lang w:val="en-IE"/>
        </w:rPr>
        <w:footnoteReference w:id="48"/>
      </w:r>
      <w:r>
        <w:rPr>
          <w:noProof/>
        </w:rPr>
        <w:t xml:space="preserve">. </w:t>
      </w:r>
    </w:p>
    <w:p w:rsidR="00F8725A" w:rsidRDefault="00BE7D43">
      <w:pPr>
        <w:pStyle w:val="Text2"/>
        <w:ind w:left="0"/>
        <w:rPr>
          <w:noProof/>
        </w:rPr>
      </w:pPr>
      <w:r>
        <w:rPr>
          <w:noProof/>
        </w:rPr>
        <w:t>Conformément au principe de coopération loyale entre les institutions de l’Union</w:t>
      </w:r>
      <w:r>
        <w:rPr>
          <w:rStyle w:val="FootnoteReference"/>
          <w:noProof/>
          <w:lang w:val="en-IE"/>
        </w:rPr>
        <w:footnoteReference w:id="49"/>
      </w:r>
      <w:r>
        <w:rPr>
          <w:noProof/>
        </w:rPr>
        <w:t xml:space="preserve">, la Commission tient compte des conclusions du Conseil lors de la mise en œuvre du statut. </w:t>
      </w:r>
    </w:p>
    <w:p w:rsidR="00F8725A" w:rsidRDefault="00BE7D43">
      <w:pPr>
        <w:pStyle w:val="Heading1"/>
        <w:rPr>
          <w:noProof/>
        </w:rPr>
      </w:pPr>
      <w:r>
        <w:rPr>
          <w:noProof/>
        </w:rPr>
        <w:t>Contrôle juridictionnel</w:t>
      </w:r>
    </w:p>
    <w:p w:rsidR="00F8725A" w:rsidRDefault="00BE7D43">
      <w:pPr>
        <w:pStyle w:val="Text1"/>
        <w:ind w:left="0"/>
        <w:rPr>
          <w:noProof/>
        </w:rPr>
      </w:pPr>
      <w:r>
        <w:rPr>
          <w:noProof/>
        </w:rPr>
        <w:t>Après la réforme du statut par le règlement nº 1023/2013</w:t>
      </w:r>
      <w:r>
        <w:rPr>
          <w:rStyle w:val="FootnoteReference"/>
          <w:noProof/>
          <w:lang w:val="en-IE"/>
        </w:rPr>
        <w:footnoteReference w:id="50"/>
      </w:r>
      <w:r>
        <w:rPr>
          <w:noProof/>
        </w:rPr>
        <w:t>, plusieurs recours ont été introduits devant la juridiction de l’Union. Ces différentes affaires remettaient en cause la légalité de divers aspects de la réforme, soit au moyen de recours formés directement par les organisations syndicales devant le Tribunal de première instance de l’Union européenne</w:t>
      </w:r>
      <w:r>
        <w:rPr>
          <w:rStyle w:val="FootnoteReference"/>
          <w:noProof/>
          <w:lang w:val="en-IE"/>
        </w:rPr>
        <w:footnoteReference w:id="51"/>
      </w:r>
      <w:r>
        <w:rPr>
          <w:noProof/>
        </w:rPr>
        <w:t xml:space="preserve">, soit par le biais d’une exception d’illégalité soulevée dans le cadre de recours en annulation formés par des fonctionnaires et d’autres agents des institutions contre des décisions individuelles appliquant les nouvelles dispositions du statut introduites par la réforme de 2014. </w:t>
      </w:r>
    </w:p>
    <w:p w:rsidR="00F8725A" w:rsidRDefault="00BE7D43">
      <w:pPr>
        <w:pStyle w:val="Text1"/>
        <w:ind w:left="0"/>
        <w:rPr>
          <w:noProof/>
        </w:rPr>
      </w:pPr>
      <w:r>
        <w:rPr>
          <w:noProof/>
        </w:rPr>
        <w:t xml:space="preserve">Toutes les actions en justice contestant les aspects de la réforme de 2014 ont été rejetées, confirmant ainsi la légalité des modifications apportées par le colégislateur (annexe 22). </w:t>
      </w:r>
    </w:p>
    <w:p w:rsidR="00F8725A" w:rsidRDefault="00BE7D43">
      <w:pPr>
        <w:pStyle w:val="Heading1"/>
        <w:rPr>
          <w:noProof/>
        </w:rPr>
      </w:pPr>
      <w:r>
        <w:rPr>
          <w:noProof/>
        </w:rPr>
        <w:t>Conclusion</w:t>
      </w:r>
    </w:p>
    <w:p w:rsidR="00F8725A" w:rsidRDefault="00BE7D43">
      <w:pPr>
        <w:rPr>
          <w:iCs/>
          <w:noProof/>
        </w:rPr>
      </w:pPr>
      <w:r>
        <w:rPr>
          <w:noProof/>
        </w:rPr>
        <w:t>Depuis la réforme de 2014, les institutions, organes et organismes de l’Union auxquels s’applique le statut ont mis en œuvre ce dernier et incorporé les nouvelles dispositions dans leur travail quotidien. De l’avis de la Commission, les dispositions adoptées par le colégislateur ont démontré leur valeur ajoutée et leur pertinence par rapport aux finalités poursuivies par le colégislateur en 2013.</w:t>
      </w:r>
    </w:p>
    <w:p w:rsidR="00F8725A" w:rsidRDefault="00BE7D43">
      <w:pPr>
        <w:rPr>
          <w:iCs/>
          <w:noProof/>
        </w:rPr>
      </w:pPr>
      <w:r>
        <w:rPr>
          <w:noProof/>
        </w:rPr>
        <w:t xml:space="preserve">La Commission a rempli ses obligations en matière d’établissement de rapports inscrites dans le statut, permettant ainsi au colégislateur d’assurer un suivi permanent des différents aspects de la mise en œuvre du statut. </w:t>
      </w:r>
    </w:p>
    <w:p w:rsidR="00F8725A" w:rsidRDefault="00BE7D43">
      <w:pPr>
        <w:rPr>
          <w:iCs/>
          <w:noProof/>
        </w:rPr>
      </w:pPr>
      <w:r>
        <w:rPr>
          <w:noProof/>
        </w:rPr>
        <w:t xml:space="preserve">L’évaluation globale du présent rapport a illustré la manière dont le statut a été appliqué depuis 2014, en tenant également compte de la contribution des autres institutions de l’Union. Par conséquent, les arrêts, recommandations, résolutions et conclusions pertinents ont été intégrés dans la pratique de la Commission et des autres institutions. </w:t>
      </w:r>
    </w:p>
    <w:p w:rsidR="00F8725A" w:rsidRDefault="00BE7D43">
      <w:pPr>
        <w:rPr>
          <w:iCs/>
          <w:noProof/>
        </w:rPr>
      </w:pPr>
      <w:r>
        <w:rPr>
          <w:noProof/>
        </w:rPr>
        <w:t xml:space="preserve">Enfin, le présent rapport a rempli les obligations spécifiques de la Commission en matière d’établissement de rapports en fournissant des précisions sur la mise en œuvre de l’annexe I, section B, et sur l’évolution des groupes de fonctions AST et AST/SC dans l’ensemble des institutions. </w:t>
      </w:r>
    </w:p>
    <w:p w:rsidR="00F8725A" w:rsidRDefault="00F8725A">
      <w:pPr>
        <w:rPr>
          <w:noProof/>
          <w:lang w:val="fr-BE"/>
        </w:rPr>
      </w:pPr>
    </w:p>
    <w:p w:rsidR="00F8725A" w:rsidRDefault="00F8725A">
      <w:pPr>
        <w:spacing w:after="0"/>
        <w:textAlignment w:val="baseline"/>
        <w:rPr>
          <w:b/>
          <w:bCs/>
          <w:noProof/>
          <w:szCs w:val="24"/>
          <w:lang w:val="fr-BE"/>
        </w:rPr>
      </w:pPr>
    </w:p>
    <w:p w:rsidR="00F8725A" w:rsidRDefault="00F8725A">
      <w:pPr>
        <w:spacing w:after="160" w:line="259" w:lineRule="auto"/>
        <w:jc w:val="left"/>
        <w:rPr>
          <w:b/>
          <w:bCs/>
          <w:noProof/>
          <w:szCs w:val="24"/>
          <w:lang w:val="fr-BE"/>
        </w:rPr>
        <w:sectPr w:rsidR="00F8725A">
          <w:headerReference w:type="even" r:id="rId21"/>
          <w:headerReference w:type="default" r:id="rId22"/>
          <w:footerReference w:type="even" r:id="rId23"/>
          <w:footerReference w:type="default" r:id="rId24"/>
          <w:headerReference w:type="first" r:id="rId25"/>
          <w:footerReference w:type="first" r:id="rId26"/>
          <w:pgSz w:w="11906" w:h="16838"/>
          <w:pgMar w:top="1020" w:right="1701" w:bottom="1020" w:left="1587" w:header="601" w:footer="1077" w:gutter="0"/>
          <w:cols w:space="720"/>
          <w:titlePg/>
          <w:docGrid w:linePitch="326"/>
        </w:sectPr>
      </w:pPr>
    </w:p>
    <w:p w:rsidR="00F8725A" w:rsidRDefault="00F8725A">
      <w:pPr>
        <w:spacing w:after="160" w:line="259" w:lineRule="auto"/>
        <w:jc w:val="left"/>
        <w:rPr>
          <w:b/>
          <w:bCs/>
          <w:noProof/>
          <w:szCs w:val="24"/>
          <w:lang w:val="fr-BE"/>
        </w:rPr>
      </w:pPr>
    </w:p>
    <w:p w:rsidR="00F8725A" w:rsidRDefault="00BE7D43">
      <w:pPr>
        <w:spacing w:after="0"/>
        <w:textAlignment w:val="baseline"/>
        <w:rPr>
          <w:b/>
          <w:noProof/>
          <w:szCs w:val="24"/>
        </w:rPr>
      </w:pPr>
      <w:r>
        <w:rPr>
          <w:b/>
          <w:noProof/>
          <w:szCs w:val="24"/>
        </w:rPr>
        <w:t>Annexe 1: rapports adoptés au titre de l’article 16, alinéa 4, du statut</w:t>
      </w:r>
    </w:p>
    <w:p w:rsidR="00F8725A" w:rsidRDefault="00F8725A">
      <w:pPr>
        <w:spacing w:after="0"/>
        <w:textAlignment w:val="baseline"/>
        <w:rPr>
          <w:b/>
          <w:bCs/>
          <w:noProof/>
          <w:szCs w:val="24"/>
          <w:lang w:val="fr-BE"/>
        </w:rPr>
      </w:pPr>
    </w:p>
    <w:tbl>
      <w:tblPr>
        <w:tblW w:w="14742" w:type="dxa"/>
        <w:tblInd w:w="108" w:type="dxa"/>
        <w:tblLayout w:type="fixed"/>
        <w:tblCellMar>
          <w:left w:w="0" w:type="dxa"/>
          <w:right w:w="0" w:type="dxa"/>
        </w:tblCellMar>
        <w:tblLook w:val="04A0" w:firstRow="1" w:lastRow="0" w:firstColumn="1" w:lastColumn="0" w:noHBand="0" w:noVBand="1"/>
      </w:tblPr>
      <w:tblGrid>
        <w:gridCol w:w="1558"/>
        <w:gridCol w:w="1982"/>
        <w:gridCol w:w="1563"/>
        <w:gridCol w:w="985"/>
        <w:gridCol w:w="1273"/>
        <w:gridCol w:w="992"/>
        <w:gridCol w:w="1131"/>
        <w:gridCol w:w="1006"/>
        <w:gridCol w:w="1417"/>
        <w:gridCol w:w="1256"/>
        <w:gridCol w:w="1579"/>
      </w:tblGrid>
      <w:tr w:rsidR="00F8725A">
        <w:trPr>
          <w:trHeight w:val="987"/>
        </w:trPr>
        <w:tc>
          <w:tcPr>
            <w:tcW w:w="15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725A" w:rsidRDefault="00BE7D43">
            <w:pPr>
              <w:jc w:val="center"/>
              <w:rPr>
                <w:b/>
                <w:bCs/>
                <w:noProof/>
                <w:color w:val="000000"/>
                <w:sz w:val="20"/>
              </w:rPr>
            </w:pPr>
            <w:r>
              <w:rPr>
                <w:b/>
                <w:bCs/>
                <w:noProof/>
                <w:color w:val="000000"/>
                <w:sz w:val="20"/>
              </w:rPr>
              <w:t>Année du rapport</w:t>
            </w:r>
          </w:p>
        </w:tc>
        <w:tc>
          <w:tcPr>
            <w:tcW w:w="13184"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725A" w:rsidRDefault="00BE7D43">
            <w:pPr>
              <w:jc w:val="center"/>
              <w:rPr>
                <w:b/>
                <w:bCs/>
                <w:noProof/>
                <w:color w:val="000000"/>
                <w:sz w:val="20"/>
              </w:rPr>
            </w:pPr>
            <w:r>
              <w:rPr>
                <w:b/>
                <w:bCs/>
                <w:noProof/>
                <w:color w:val="000000"/>
                <w:sz w:val="20"/>
              </w:rPr>
              <w:t>Nombre des anciens membres du personnel d’encadrement supérieur mentionnés dans le rapport annuel prévu par l’article 16, alinéa 4, du statut, par institution</w:t>
            </w:r>
          </w:p>
        </w:tc>
      </w:tr>
      <w:tr w:rsidR="00F8725A">
        <w:trPr>
          <w:trHeight w:val="1025"/>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F8725A" w:rsidRDefault="00F8725A">
            <w:pPr>
              <w:rPr>
                <w:rFonts w:eastAsiaTheme="minorHAnsi"/>
                <w:b/>
                <w:bCs/>
                <w:noProof/>
                <w:color w:val="000000"/>
                <w:sz w:val="20"/>
                <w:szCs w:val="22"/>
                <w:lang w:val="fr-BE" w:eastAsia="en-US"/>
              </w:rPr>
            </w:pP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725A" w:rsidRDefault="00BE7D43">
            <w:pPr>
              <w:jc w:val="center"/>
              <w:rPr>
                <w:b/>
                <w:bCs/>
                <w:noProof/>
                <w:color w:val="000000"/>
                <w:sz w:val="20"/>
              </w:rPr>
            </w:pPr>
            <w:r>
              <w:rPr>
                <w:b/>
                <w:bCs/>
                <w:noProof/>
                <w:color w:val="000000"/>
                <w:sz w:val="20"/>
              </w:rPr>
              <w:t>Conseil</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725A" w:rsidRDefault="00BE7D43">
            <w:pPr>
              <w:jc w:val="center"/>
              <w:rPr>
                <w:b/>
                <w:bCs/>
                <w:noProof/>
                <w:color w:val="000000"/>
                <w:sz w:val="20"/>
              </w:rPr>
            </w:pPr>
            <w:r>
              <w:rPr>
                <w:b/>
                <w:bCs/>
                <w:noProof/>
                <w:color w:val="000000"/>
                <w:sz w:val="20"/>
              </w:rPr>
              <w:t>Comité économique et social européen</w:t>
            </w:r>
          </w:p>
        </w:tc>
        <w:tc>
          <w:tcPr>
            <w:tcW w:w="98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8725A" w:rsidRDefault="00BE7D43">
            <w:pPr>
              <w:jc w:val="center"/>
              <w:rPr>
                <w:b/>
                <w:bCs/>
                <w:noProof/>
                <w:color w:val="000000"/>
                <w:sz w:val="20"/>
              </w:rPr>
            </w:pPr>
            <w:r>
              <w:rPr>
                <w:b/>
                <w:bCs/>
                <w:noProof/>
                <w:color w:val="000000"/>
                <w:sz w:val="20"/>
              </w:rPr>
              <w:t>Comité des régions</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F8725A" w:rsidRDefault="00BE7D43">
            <w:pPr>
              <w:jc w:val="center"/>
              <w:rPr>
                <w:b/>
                <w:bCs/>
                <w:noProof/>
                <w:color w:val="000000"/>
                <w:sz w:val="20"/>
              </w:rPr>
            </w:pPr>
            <w:r>
              <w:rPr>
                <w:b/>
                <w:bCs/>
                <w:noProof/>
                <w:color w:val="000000"/>
                <w:sz w:val="20"/>
              </w:rPr>
              <w:t>Parlement européen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8725A" w:rsidRDefault="00BE7D43">
            <w:pPr>
              <w:jc w:val="center"/>
              <w:rPr>
                <w:b/>
                <w:bCs/>
                <w:noProof/>
                <w:color w:val="000000"/>
                <w:sz w:val="20"/>
              </w:rPr>
            </w:pPr>
            <w:r>
              <w:rPr>
                <w:b/>
                <w:bCs/>
                <w:noProof/>
                <w:color w:val="000000"/>
                <w:sz w:val="20"/>
              </w:rPr>
              <w:t>Cour de justice</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F8725A" w:rsidRDefault="00BE7D43">
            <w:pPr>
              <w:jc w:val="center"/>
              <w:rPr>
                <w:b/>
                <w:bCs/>
                <w:noProof/>
                <w:color w:val="000000"/>
                <w:sz w:val="20"/>
              </w:rPr>
            </w:pPr>
            <w:r>
              <w:rPr>
                <w:b/>
                <w:bCs/>
                <w:noProof/>
                <w:color w:val="000000"/>
                <w:sz w:val="20"/>
              </w:rPr>
              <w:t>Banque centrale européenne</w:t>
            </w:r>
          </w:p>
        </w:tc>
        <w:tc>
          <w:tcPr>
            <w:tcW w:w="1006" w:type="dxa"/>
            <w:tcBorders>
              <w:top w:val="nil"/>
              <w:left w:val="nil"/>
              <w:bottom w:val="single" w:sz="8" w:space="0" w:color="auto"/>
              <w:right w:val="single" w:sz="8" w:space="0" w:color="auto"/>
            </w:tcBorders>
          </w:tcPr>
          <w:p w:rsidR="00F8725A" w:rsidRDefault="00BE7D43">
            <w:pPr>
              <w:jc w:val="center"/>
              <w:rPr>
                <w:b/>
                <w:bCs/>
                <w:noProof/>
                <w:color w:val="000000"/>
                <w:sz w:val="20"/>
              </w:rPr>
            </w:pPr>
            <w:r>
              <w:rPr>
                <w:b/>
                <w:bCs/>
                <w:noProof/>
                <w:color w:val="000000"/>
                <w:sz w:val="20"/>
              </w:rPr>
              <w:t>SEAE</w:t>
            </w:r>
          </w:p>
        </w:tc>
        <w:tc>
          <w:tcPr>
            <w:tcW w:w="1417" w:type="dxa"/>
            <w:tcBorders>
              <w:top w:val="nil"/>
              <w:left w:val="nil"/>
              <w:bottom w:val="single" w:sz="8" w:space="0" w:color="auto"/>
              <w:right w:val="single" w:sz="8" w:space="0" w:color="auto"/>
            </w:tcBorders>
          </w:tcPr>
          <w:p w:rsidR="00F8725A" w:rsidRDefault="00BE7D43">
            <w:pPr>
              <w:jc w:val="center"/>
              <w:rPr>
                <w:b/>
                <w:bCs/>
                <w:noProof/>
                <w:color w:val="000000"/>
                <w:sz w:val="20"/>
              </w:rPr>
            </w:pPr>
            <w:r>
              <w:rPr>
                <w:b/>
                <w:bCs/>
                <w:noProof/>
                <w:color w:val="000000"/>
                <w:sz w:val="20"/>
              </w:rPr>
              <w:t>Cour des comptes européenne</w:t>
            </w:r>
          </w:p>
        </w:tc>
        <w:tc>
          <w:tcPr>
            <w:tcW w:w="1256" w:type="dxa"/>
            <w:tcBorders>
              <w:top w:val="nil"/>
              <w:left w:val="nil"/>
              <w:bottom w:val="single" w:sz="8" w:space="0" w:color="auto"/>
              <w:right w:val="single" w:sz="8" w:space="0" w:color="auto"/>
            </w:tcBorders>
          </w:tcPr>
          <w:p w:rsidR="00F8725A" w:rsidRDefault="00BE7D43">
            <w:pPr>
              <w:jc w:val="center"/>
              <w:rPr>
                <w:b/>
                <w:bCs/>
                <w:noProof/>
                <w:color w:val="000000"/>
                <w:sz w:val="20"/>
              </w:rPr>
            </w:pPr>
            <w:r>
              <w:rPr>
                <w:b/>
                <w:bCs/>
                <w:noProof/>
                <w:color w:val="000000"/>
                <w:sz w:val="20"/>
              </w:rPr>
              <w:t>Médiateur européen</w:t>
            </w:r>
          </w:p>
        </w:tc>
        <w:tc>
          <w:tcPr>
            <w:tcW w:w="1579" w:type="dxa"/>
            <w:tcBorders>
              <w:top w:val="nil"/>
              <w:left w:val="nil"/>
              <w:bottom w:val="single" w:sz="8" w:space="0" w:color="auto"/>
              <w:right w:val="single" w:sz="8" w:space="0" w:color="auto"/>
            </w:tcBorders>
          </w:tcPr>
          <w:p w:rsidR="00F8725A" w:rsidRDefault="00BE7D43">
            <w:pPr>
              <w:jc w:val="center"/>
              <w:rPr>
                <w:b/>
                <w:bCs/>
                <w:noProof/>
                <w:color w:val="000000"/>
                <w:sz w:val="20"/>
              </w:rPr>
            </w:pPr>
            <w:r>
              <w:rPr>
                <w:b/>
                <w:bCs/>
                <w:noProof/>
                <w:color w:val="000000"/>
                <w:sz w:val="20"/>
              </w:rPr>
              <w:t>CEPD</w:t>
            </w:r>
          </w:p>
        </w:tc>
      </w:tr>
      <w:tr w:rsidR="00F8725A">
        <w:trPr>
          <w:trHeight w:val="595"/>
        </w:trPr>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725A" w:rsidRDefault="00BE7D43">
            <w:pPr>
              <w:jc w:val="center"/>
              <w:rPr>
                <w:b/>
                <w:bCs/>
                <w:noProof/>
                <w:color w:val="000000"/>
                <w:sz w:val="20"/>
              </w:rPr>
            </w:pPr>
            <w:r>
              <w:rPr>
                <w:b/>
                <w:bCs/>
                <w:noProof/>
                <w:color w:val="000000"/>
                <w:sz w:val="20"/>
              </w:rPr>
              <w:t>2015</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p>
        </w:tc>
        <w:tc>
          <w:tcPr>
            <w:tcW w:w="98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s.o.</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s.o.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8725A" w:rsidRDefault="00BE7D43">
            <w:pPr>
              <w:rPr>
                <w:noProof/>
              </w:rPr>
            </w:pPr>
            <w:r>
              <w:rPr>
                <w:noProof/>
                <w:color w:val="000000"/>
                <w:sz w:val="20"/>
              </w:rPr>
              <w:t>s.o.</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F8725A" w:rsidRDefault="00BE7D43">
            <w:pPr>
              <w:rPr>
                <w:noProof/>
              </w:rPr>
            </w:pPr>
            <w:r>
              <w:rPr>
                <w:noProof/>
                <w:color w:val="000000"/>
                <w:sz w:val="20"/>
              </w:rPr>
              <w:t>s.o.</w:t>
            </w:r>
          </w:p>
        </w:tc>
        <w:tc>
          <w:tcPr>
            <w:tcW w:w="1006" w:type="dxa"/>
            <w:tcBorders>
              <w:top w:val="nil"/>
              <w:left w:val="nil"/>
              <w:bottom w:val="single" w:sz="8" w:space="0" w:color="auto"/>
              <w:right w:val="single" w:sz="8" w:space="0" w:color="auto"/>
            </w:tcBorders>
            <w:vAlign w:val="center"/>
          </w:tcPr>
          <w:p w:rsidR="00F8725A" w:rsidRDefault="00BE7D43">
            <w:pPr>
              <w:jc w:val="center"/>
              <w:rPr>
                <w:noProof/>
                <w:color w:val="000000"/>
                <w:sz w:val="20"/>
              </w:rPr>
            </w:pPr>
            <w:r>
              <w:rPr>
                <w:noProof/>
                <w:color w:val="000000"/>
                <w:sz w:val="20"/>
              </w:rPr>
              <w:t>5</w:t>
            </w:r>
          </w:p>
        </w:tc>
        <w:tc>
          <w:tcPr>
            <w:tcW w:w="1417" w:type="dxa"/>
            <w:tcBorders>
              <w:top w:val="nil"/>
              <w:left w:val="nil"/>
              <w:bottom w:val="single" w:sz="8" w:space="0" w:color="auto"/>
              <w:right w:val="single" w:sz="8" w:space="0" w:color="auto"/>
            </w:tcBorders>
            <w:vAlign w:val="center"/>
          </w:tcPr>
          <w:p w:rsidR="00F8725A" w:rsidRDefault="00BE7D43">
            <w:pPr>
              <w:jc w:val="center"/>
              <w:rPr>
                <w:noProof/>
                <w:color w:val="000000"/>
                <w:sz w:val="20"/>
              </w:rPr>
            </w:pPr>
            <w:r>
              <w:rPr>
                <w:noProof/>
                <w:color w:val="000000"/>
                <w:sz w:val="20"/>
              </w:rPr>
              <w:t>0</w:t>
            </w:r>
          </w:p>
        </w:tc>
        <w:tc>
          <w:tcPr>
            <w:tcW w:w="1256" w:type="dxa"/>
            <w:tcBorders>
              <w:top w:val="nil"/>
              <w:left w:val="nil"/>
              <w:bottom w:val="single" w:sz="8" w:space="0" w:color="auto"/>
              <w:right w:val="single" w:sz="8" w:space="0" w:color="auto"/>
            </w:tcBorders>
          </w:tcPr>
          <w:p w:rsidR="00F8725A" w:rsidRDefault="00BE7D43">
            <w:pPr>
              <w:jc w:val="center"/>
              <w:rPr>
                <w:noProof/>
                <w:color w:val="000000"/>
                <w:sz w:val="20"/>
              </w:rPr>
            </w:pPr>
            <w:r>
              <w:rPr>
                <w:noProof/>
                <w:color w:val="000000"/>
                <w:sz w:val="20"/>
              </w:rPr>
              <w:t>0</w:t>
            </w:r>
          </w:p>
        </w:tc>
        <w:tc>
          <w:tcPr>
            <w:tcW w:w="1579" w:type="dxa"/>
            <w:tcBorders>
              <w:top w:val="nil"/>
              <w:left w:val="nil"/>
              <w:bottom w:val="single" w:sz="8" w:space="0" w:color="auto"/>
              <w:right w:val="single" w:sz="8" w:space="0" w:color="auto"/>
            </w:tcBorders>
          </w:tcPr>
          <w:p w:rsidR="00F8725A" w:rsidRDefault="00BE7D43">
            <w:pPr>
              <w:rPr>
                <w:noProof/>
              </w:rPr>
            </w:pPr>
            <w:r>
              <w:rPr>
                <w:noProof/>
                <w:color w:val="000000"/>
                <w:sz w:val="20"/>
              </w:rPr>
              <w:t>s.o.</w:t>
            </w:r>
          </w:p>
        </w:tc>
      </w:tr>
      <w:tr w:rsidR="00F8725A">
        <w:trPr>
          <w:trHeight w:val="602"/>
        </w:trPr>
        <w:tc>
          <w:tcPr>
            <w:tcW w:w="15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725A" w:rsidRDefault="00BE7D43">
            <w:pPr>
              <w:jc w:val="center"/>
              <w:rPr>
                <w:b/>
                <w:bCs/>
                <w:noProof/>
                <w:color w:val="000000"/>
                <w:sz w:val="20"/>
              </w:rPr>
            </w:pPr>
            <w:r>
              <w:rPr>
                <w:b/>
                <w:bCs/>
                <w:noProof/>
                <w:color w:val="000000"/>
                <w:sz w:val="20"/>
              </w:rPr>
              <w:t>2016</w:t>
            </w:r>
          </w:p>
        </w:tc>
        <w:tc>
          <w:tcPr>
            <w:tcW w:w="19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r>
              <w:rPr>
                <w:rStyle w:val="FootnoteReference"/>
                <w:noProof/>
                <w:color w:val="000000"/>
                <w:sz w:val="20"/>
                <w:lang w:val="en-IE"/>
              </w:rPr>
              <w:footnoteReference w:id="52"/>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s.o.</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8725A" w:rsidRDefault="00BE7D43">
            <w:pPr>
              <w:rPr>
                <w:noProof/>
              </w:rPr>
            </w:pPr>
            <w:r>
              <w:rPr>
                <w:noProof/>
                <w:color w:val="000000"/>
                <w:sz w:val="20"/>
              </w:rPr>
              <w:t>s.o.</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F8725A" w:rsidRDefault="00BE7D43">
            <w:pPr>
              <w:rPr>
                <w:noProof/>
              </w:rPr>
            </w:pPr>
            <w:r>
              <w:rPr>
                <w:noProof/>
                <w:color w:val="000000"/>
                <w:sz w:val="20"/>
              </w:rPr>
              <w:t>s.o.</w:t>
            </w:r>
          </w:p>
        </w:tc>
        <w:tc>
          <w:tcPr>
            <w:tcW w:w="1006" w:type="dxa"/>
            <w:tcBorders>
              <w:top w:val="nil"/>
              <w:left w:val="nil"/>
              <w:bottom w:val="single" w:sz="8" w:space="0" w:color="auto"/>
              <w:right w:val="single" w:sz="8" w:space="0" w:color="auto"/>
            </w:tcBorders>
            <w:vAlign w:val="center"/>
          </w:tcPr>
          <w:p w:rsidR="00F8725A" w:rsidRDefault="00BE7D43">
            <w:pPr>
              <w:jc w:val="center"/>
              <w:rPr>
                <w:noProof/>
                <w:color w:val="000000"/>
                <w:sz w:val="20"/>
              </w:rPr>
            </w:pPr>
            <w:r>
              <w:rPr>
                <w:noProof/>
                <w:color w:val="000000"/>
                <w:sz w:val="20"/>
              </w:rPr>
              <w:t>0</w:t>
            </w:r>
          </w:p>
        </w:tc>
        <w:tc>
          <w:tcPr>
            <w:tcW w:w="1417" w:type="dxa"/>
            <w:tcBorders>
              <w:top w:val="nil"/>
              <w:left w:val="nil"/>
              <w:bottom w:val="single" w:sz="8" w:space="0" w:color="auto"/>
              <w:right w:val="single" w:sz="8" w:space="0" w:color="auto"/>
            </w:tcBorders>
            <w:vAlign w:val="center"/>
          </w:tcPr>
          <w:p w:rsidR="00F8725A" w:rsidRDefault="00BE7D43">
            <w:pPr>
              <w:jc w:val="center"/>
              <w:rPr>
                <w:noProof/>
                <w:color w:val="000000"/>
                <w:sz w:val="20"/>
              </w:rPr>
            </w:pPr>
            <w:r>
              <w:rPr>
                <w:noProof/>
                <w:color w:val="000000"/>
                <w:sz w:val="20"/>
              </w:rPr>
              <w:t>0</w:t>
            </w:r>
          </w:p>
        </w:tc>
        <w:tc>
          <w:tcPr>
            <w:tcW w:w="1256" w:type="dxa"/>
            <w:tcBorders>
              <w:top w:val="nil"/>
              <w:left w:val="nil"/>
              <w:bottom w:val="single" w:sz="8" w:space="0" w:color="auto"/>
              <w:right w:val="single" w:sz="8" w:space="0" w:color="auto"/>
            </w:tcBorders>
          </w:tcPr>
          <w:p w:rsidR="00F8725A" w:rsidRDefault="00BE7D43">
            <w:pPr>
              <w:jc w:val="center"/>
              <w:rPr>
                <w:noProof/>
                <w:color w:val="000000"/>
                <w:sz w:val="20"/>
              </w:rPr>
            </w:pPr>
            <w:r>
              <w:rPr>
                <w:noProof/>
                <w:color w:val="000000"/>
                <w:sz w:val="20"/>
              </w:rPr>
              <w:t>0</w:t>
            </w:r>
            <w:r>
              <w:rPr>
                <w:rStyle w:val="FootnoteReference"/>
                <w:noProof/>
                <w:color w:val="000000"/>
                <w:sz w:val="20"/>
                <w:lang w:val="en-IE"/>
              </w:rPr>
              <w:footnoteReference w:id="53"/>
            </w:r>
          </w:p>
        </w:tc>
        <w:tc>
          <w:tcPr>
            <w:tcW w:w="1579" w:type="dxa"/>
            <w:tcBorders>
              <w:top w:val="nil"/>
              <w:left w:val="nil"/>
              <w:bottom w:val="single" w:sz="8" w:space="0" w:color="auto"/>
              <w:right w:val="single" w:sz="8" w:space="0" w:color="auto"/>
            </w:tcBorders>
          </w:tcPr>
          <w:p w:rsidR="00F8725A" w:rsidRDefault="00BE7D43">
            <w:pPr>
              <w:rPr>
                <w:noProof/>
              </w:rPr>
            </w:pPr>
            <w:r>
              <w:rPr>
                <w:noProof/>
                <w:color w:val="000000"/>
                <w:sz w:val="20"/>
              </w:rPr>
              <w:t>s.o.</w:t>
            </w:r>
          </w:p>
        </w:tc>
      </w:tr>
      <w:tr w:rsidR="00F8725A">
        <w:trPr>
          <w:trHeight w:val="383"/>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25A" w:rsidRDefault="00BE7D43">
            <w:pPr>
              <w:jc w:val="center"/>
              <w:rPr>
                <w:b/>
                <w:bCs/>
                <w:noProof/>
                <w:color w:val="000000"/>
                <w:sz w:val="20"/>
              </w:rPr>
            </w:pPr>
            <w:r>
              <w:rPr>
                <w:b/>
                <w:bCs/>
                <w:noProof/>
                <w:color w:val="000000"/>
                <w:sz w:val="20"/>
              </w:rPr>
              <w:t>2017</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8725A" w:rsidRDefault="00BE7D43">
            <w:pPr>
              <w:rPr>
                <w:noProof/>
              </w:rPr>
            </w:pPr>
            <w:r>
              <w:rPr>
                <w:noProof/>
                <w:color w:val="000000"/>
                <w:sz w:val="20"/>
              </w:rPr>
              <w:t>s.o.</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F8725A" w:rsidRDefault="00BE7D43">
            <w:pPr>
              <w:rPr>
                <w:noProof/>
              </w:rPr>
            </w:pPr>
            <w:r>
              <w:rPr>
                <w:noProof/>
                <w:color w:val="000000"/>
                <w:sz w:val="20"/>
              </w:rPr>
              <w:t>s.o.</w:t>
            </w:r>
          </w:p>
        </w:tc>
        <w:tc>
          <w:tcPr>
            <w:tcW w:w="1006" w:type="dxa"/>
            <w:tcBorders>
              <w:top w:val="nil"/>
              <w:left w:val="nil"/>
              <w:bottom w:val="single" w:sz="8" w:space="0" w:color="auto"/>
              <w:right w:val="single" w:sz="8" w:space="0" w:color="auto"/>
            </w:tcBorders>
            <w:vAlign w:val="center"/>
          </w:tcPr>
          <w:p w:rsidR="00F8725A" w:rsidRDefault="00BE7D43">
            <w:pPr>
              <w:jc w:val="center"/>
              <w:rPr>
                <w:noProof/>
                <w:color w:val="000000"/>
                <w:sz w:val="20"/>
              </w:rPr>
            </w:pPr>
            <w:r>
              <w:rPr>
                <w:noProof/>
                <w:color w:val="000000"/>
                <w:sz w:val="20"/>
              </w:rPr>
              <w:t>2</w:t>
            </w:r>
          </w:p>
        </w:tc>
        <w:tc>
          <w:tcPr>
            <w:tcW w:w="1417" w:type="dxa"/>
            <w:tcBorders>
              <w:top w:val="nil"/>
              <w:left w:val="nil"/>
              <w:bottom w:val="single" w:sz="8" w:space="0" w:color="auto"/>
              <w:right w:val="single" w:sz="8" w:space="0" w:color="auto"/>
            </w:tcBorders>
            <w:vAlign w:val="center"/>
          </w:tcPr>
          <w:p w:rsidR="00F8725A" w:rsidRDefault="00BE7D43">
            <w:pPr>
              <w:jc w:val="center"/>
              <w:rPr>
                <w:noProof/>
                <w:color w:val="000000"/>
                <w:sz w:val="20"/>
              </w:rPr>
            </w:pPr>
            <w:r>
              <w:rPr>
                <w:noProof/>
                <w:color w:val="000000"/>
                <w:sz w:val="20"/>
              </w:rPr>
              <w:t>0</w:t>
            </w:r>
            <w:r>
              <w:rPr>
                <w:rStyle w:val="FootnoteReference"/>
                <w:noProof/>
                <w:color w:val="000000"/>
                <w:sz w:val="20"/>
                <w:lang w:val="en-IE"/>
              </w:rPr>
              <w:footnoteReference w:id="54"/>
            </w:r>
          </w:p>
        </w:tc>
        <w:tc>
          <w:tcPr>
            <w:tcW w:w="1256" w:type="dxa"/>
            <w:tcBorders>
              <w:top w:val="nil"/>
              <w:left w:val="nil"/>
              <w:bottom w:val="single" w:sz="8" w:space="0" w:color="auto"/>
              <w:right w:val="single" w:sz="8" w:space="0" w:color="auto"/>
            </w:tcBorders>
          </w:tcPr>
          <w:p w:rsidR="00F8725A" w:rsidRDefault="00BE7D43">
            <w:pPr>
              <w:jc w:val="center"/>
              <w:rPr>
                <w:noProof/>
                <w:color w:val="000000"/>
                <w:sz w:val="20"/>
              </w:rPr>
            </w:pPr>
            <w:r>
              <w:rPr>
                <w:noProof/>
                <w:color w:val="000000"/>
                <w:sz w:val="20"/>
              </w:rPr>
              <w:t>0</w:t>
            </w:r>
          </w:p>
        </w:tc>
        <w:tc>
          <w:tcPr>
            <w:tcW w:w="1579" w:type="dxa"/>
            <w:tcBorders>
              <w:top w:val="nil"/>
              <w:left w:val="nil"/>
              <w:bottom w:val="single" w:sz="8" w:space="0" w:color="auto"/>
              <w:right w:val="single" w:sz="8" w:space="0" w:color="auto"/>
            </w:tcBorders>
          </w:tcPr>
          <w:p w:rsidR="00F8725A" w:rsidRDefault="00BE7D43">
            <w:pPr>
              <w:rPr>
                <w:noProof/>
              </w:rPr>
            </w:pPr>
            <w:r>
              <w:rPr>
                <w:noProof/>
                <w:color w:val="000000"/>
                <w:sz w:val="20"/>
              </w:rPr>
              <w:t>s.o.</w:t>
            </w:r>
          </w:p>
        </w:tc>
      </w:tr>
      <w:tr w:rsidR="00F8725A">
        <w:trPr>
          <w:trHeight w:val="392"/>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25A" w:rsidRDefault="00BE7D43">
            <w:pPr>
              <w:jc w:val="center"/>
              <w:rPr>
                <w:b/>
                <w:bCs/>
                <w:noProof/>
                <w:color w:val="000000"/>
                <w:sz w:val="20"/>
              </w:rPr>
            </w:pPr>
            <w:r>
              <w:rPr>
                <w:b/>
                <w:bCs/>
                <w:noProof/>
                <w:color w:val="000000"/>
                <w:sz w:val="20"/>
              </w:rPr>
              <w:t>2018</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8725A" w:rsidRDefault="00BE7D43">
            <w:pPr>
              <w:rPr>
                <w:noProof/>
              </w:rPr>
            </w:pPr>
            <w:r>
              <w:rPr>
                <w:noProof/>
                <w:color w:val="000000"/>
                <w:sz w:val="20"/>
              </w:rPr>
              <w:t>s.o.</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F8725A" w:rsidRDefault="00BE7D43">
            <w:pPr>
              <w:rPr>
                <w:noProof/>
              </w:rPr>
            </w:pPr>
            <w:r>
              <w:rPr>
                <w:noProof/>
                <w:color w:val="000000"/>
                <w:sz w:val="20"/>
              </w:rPr>
              <w:t>s.o.</w:t>
            </w:r>
          </w:p>
        </w:tc>
        <w:tc>
          <w:tcPr>
            <w:tcW w:w="1006" w:type="dxa"/>
            <w:tcBorders>
              <w:top w:val="nil"/>
              <w:left w:val="nil"/>
              <w:bottom w:val="single" w:sz="8" w:space="0" w:color="auto"/>
              <w:right w:val="single" w:sz="8" w:space="0" w:color="auto"/>
            </w:tcBorders>
            <w:vAlign w:val="center"/>
          </w:tcPr>
          <w:p w:rsidR="00F8725A" w:rsidRDefault="00BE7D43">
            <w:pPr>
              <w:jc w:val="center"/>
              <w:rPr>
                <w:noProof/>
                <w:color w:val="000000"/>
                <w:sz w:val="20"/>
              </w:rPr>
            </w:pPr>
            <w:r>
              <w:rPr>
                <w:noProof/>
                <w:color w:val="000000"/>
                <w:sz w:val="20"/>
              </w:rPr>
              <w:t>5</w:t>
            </w:r>
          </w:p>
        </w:tc>
        <w:tc>
          <w:tcPr>
            <w:tcW w:w="1417" w:type="dxa"/>
            <w:tcBorders>
              <w:top w:val="nil"/>
              <w:left w:val="nil"/>
              <w:bottom w:val="single" w:sz="8" w:space="0" w:color="auto"/>
              <w:right w:val="single" w:sz="8" w:space="0" w:color="auto"/>
            </w:tcBorders>
            <w:vAlign w:val="center"/>
          </w:tcPr>
          <w:p w:rsidR="00F8725A" w:rsidRDefault="00BE7D43">
            <w:pPr>
              <w:jc w:val="center"/>
              <w:rPr>
                <w:noProof/>
                <w:color w:val="000000"/>
                <w:sz w:val="20"/>
              </w:rPr>
            </w:pPr>
            <w:r>
              <w:rPr>
                <w:noProof/>
                <w:color w:val="000000"/>
                <w:sz w:val="20"/>
              </w:rPr>
              <w:t>0</w:t>
            </w:r>
            <w:r>
              <w:rPr>
                <w:rStyle w:val="FootnoteReference"/>
                <w:noProof/>
                <w:color w:val="000000"/>
                <w:sz w:val="20"/>
                <w:lang w:val="en-IE"/>
              </w:rPr>
              <w:footnoteReference w:id="55"/>
            </w:r>
          </w:p>
        </w:tc>
        <w:tc>
          <w:tcPr>
            <w:tcW w:w="1256" w:type="dxa"/>
            <w:tcBorders>
              <w:top w:val="nil"/>
              <w:left w:val="nil"/>
              <w:bottom w:val="single" w:sz="8" w:space="0" w:color="auto"/>
              <w:right w:val="single" w:sz="8" w:space="0" w:color="auto"/>
            </w:tcBorders>
          </w:tcPr>
          <w:p w:rsidR="00F8725A" w:rsidRDefault="00BE7D43">
            <w:pPr>
              <w:jc w:val="center"/>
              <w:rPr>
                <w:noProof/>
                <w:color w:val="000000"/>
                <w:sz w:val="20"/>
              </w:rPr>
            </w:pPr>
            <w:r>
              <w:rPr>
                <w:noProof/>
                <w:color w:val="000000"/>
                <w:sz w:val="20"/>
              </w:rPr>
              <w:t>0</w:t>
            </w:r>
          </w:p>
        </w:tc>
        <w:tc>
          <w:tcPr>
            <w:tcW w:w="1579" w:type="dxa"/>
            <w:tcBorders>
              <w:top w:val="nil"/>
              <w:left w:val="nil"/>
              <w:bottom w:val="single" w:sz="8" w:space="0" w:color="auto"/>
              <w:right w:val="single" w:sz="8" w:space="0" w:color="auto"/>
            </w:tcBorders>
          </w:tcPr>
          <w:p w:rsidR="00F8725A" w:rsidRDefault="00BE7D43">
            <w:pPr>
              <w:rPr>
                <w:noProof/>
              </w:rPr>
            </w:pPr>
            <w:r>
              <w:rPr>
                <w:noProof/>
                <w:color w:val="000000"/>
                <w:sz w:val="20"/>
              </w:rPr>
              <w:t>s.o.</w:t>
            </w:r>
          </w:p>
        </w:tc>
      </w:tr>
      <w:tr w:rsidR="00F8725A">
        <w:trPr>
          <w:trHeight w:val="383"/>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725A" w:rsidRDefault="00BE7D43">
            <w:pPr>
              <w:jc w:val="center"/>
              <w:rPr>
                <w:b/>
                <w:bCs/>
                <w:noProof/>
                <w:color w:val="000000"/>
                <w:sz w:val="20"/>
              </w:rPr>
            </w:pPr>
            <w:r>
              <w:rPr>
                <w:b/>
                <w:bCs/>
                <w:noProof/>
                <w:color w:val="000000"/>
                <w:sz w:val="20"/>
              </w:rPr>
              <w:t>2019</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r>
              <w:rPr>
                <w:rStyle w:val="FootnoteReference"/>
                <w:noProof/>
                <w:color w:val="000000"/>
                <w:sz w:val="20"/>
                <w:lang w:val="en-IE"/>
              </w:rPr>
              <w:footnoteReference w:id="56"/>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25A" w:rsidRDefault="00BE7D43">
            <w:pPr>
              <w:jc w:val="center"/>
              <w:rPr>
                <w:noProof/>
                <w:color w:val="000000"/>
                <w:sz w:val="20"/>
              </w:rPr>
            </w:pPr>
            <w:r>
              <w:rPr>
                <w:noProof/>
                <w:color w:val="000000"/>
                <w:sz w:val="20"/>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8725A" w:rsidRDefault="00BE7D43">
            <w:pPr>
              <w:rPr>
                <w:noProof/>
              </w:rPr>
            </w:pPr>
            <w:r>
              <w:rPr>
                <w:noProof/>
                <w:color w:val="000000"/>
                <w:sz w:val="20"/>
              </w:rPr>
              <w:t>s.o.</w:t>
            </w: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F8725A" w:rsidRDefault="00BE7D43">
            <w:pPr>
              <w:rPr>
                <w:noProof/>
              </w:rPr>
            </w:pPr>
            <w:r>
              <w:rPr>
                <w:noProof/>
                <w:color w:val="000000"/>
                <w:sz w:val="20"/>
              </w:rPr>
              <w:t>s.o.</w:t>
            </w:r>
          </w:p>
        </w:tc>
        <w:tc>
          <w:tcPr>
            <w:tcW w:w="1006" w:type="dxa"/>
            <w:tcBorders>
              <w:top w:val="nil"/>
              <w:left w:val="nil"/>
              <w:bottom w:val="single" w:sz="8" w:space="0" w:color="auto"/>
              <w:right w:val="single" w:sz="8" w:space="0" w:color="auto"/>
            </w:tcBorders>
            <w:vAlign w:val="center"/>
          </w:tcPr>
          <w:p w:rsidR="00F8725A" w:rsidRDefault="00BE7D43">
            <w:pPr>
              <w:jc w:val="center"/>
              <w:rPr>
                <w:noProof/>
                <w:color w:val="000000"/>
                <w:sz w:val="20"/>
              </w:rPr>
            </w:pPr>
            <w:r>
              <w:rPr>
                <w:noProof/>
                <w:color w:val="000000"/>
                <w:sz w:val="20"/>
              </w:rPr>
              <w:t>4</w:t>
            </w:r>
          </w:p>
        </w:tc>
        <w:tc>
          <w:tcPr>
            <w:tcW w:w="1417" w:type="dxa"/>
            <w:tcBorders>
              <w:top w:val="nil"/>
              <w:left w:val="nil"/>
              <w:bottom w:val="single" w:sz="8" w:space="0" w:color="auto"/>
              <w:right w:val="single" w:sz="8" w:space="0" w:color="auto"/>
            </w:tcBorders>
            <w:vAlign w:val="center"/>
          </w:tcPr>
          <w:p w:rsidR="00F8725A" w:rsidRDefault="00BE7D43">
            <w:pPr>
              <w:jc w:val="center"/>
              <w:rPr>
                <w:noProof/>
                <w:color w:val="000000"/>
                <w:sz w:val="20"/>
              </w:rPr>
            </w:pPr>
            <w:r>
              <w:rPr>
                <w:noProof/>
                <w:color w:val="000000"/>
                <w:sz w:val="20"/>
              </w:rPr>
              <w:t>0</w:t>
            </w:r>
            <w:r>
              <w:rPr>
                <w:rStyle w:val="FootnoteReference"/>
                <w:noProof/>
                <w:color w:val="000000"/>
                <w:sz w:val="20"/>
                <w:lang w:val="en-IE"/>
              </w:rPr>
              <w:footnoteReference w:id="57"/>
            </w:r>
          </w:p>
        </w:tc>
        <w:tc>
          <w:tcPr>
            <w:tcW w:w="1256" w:type="dxa"/>
            <w:tcBorders>
              <w:top w:val="nil"/>
              <w:left w:val="nil"/>
              <w:bottom w:val="single" w:sz="8" w:space="0" w:color="auto"/>
              <w:right w:val="single" w:sz="8" w:space="0" w:color="auto"/>
            </w:tcBorders>
          </w:tcPr>
          <w:p w:rsidR="00F8725A" w:rsidRDefault="00BE7D43">
            <w:pPr>
              <w:jc w:val="center"/>
              <w:rPr>
                <w:noProof/>
                <w:color w:val="000000"/>
                <w:sz w:val="20"/>
              </w:rPr>
            </w:pPr>
            <w:r>
              <w:rPr>
                <w:noProof/>
                <w:color w:val="000000"/>
                <w:sz w:val="20"/>
              </w:rPr>
              <w:t>s.o.</w:t>
            </w:r>
          </w:p>
        </w:tc>
        <w:tc>
          <w:tcPr>
            <w:tcW w:w="1579" w:type="dxa"/>
            <w:tcBorders>
              <w:top w:val="nil"/>
              <w:left w:val="nil"/>
              <w:bottom w:val="single" w:sz="8" w:space="0" w:color="auto"/>
              <w:right w:val="single" w:sz="8" w:space="0" w:color="auto"/>
            </w:tcBorders>
          </w:tcPr>
          <w:p w:rsidR="00F8725A" w:rsidRDefault="00BE7D43">
            <w:pPr>
              <w:rPr>
                <w:noProof/>
              </w:rPr>
            </w:pPr>
            <w:r>
              <w:rPr>
                <w:noProof/>
                <w:color w:val="000000"/>
                <w:sz w:val="20"/>
              </w:rPr>
              <w:t>s.o.</w:t>
            </w:r>
          </w:p>
        </w:tc>
      </w:tr>
    </w:tbl>
    <w:p w:rsidR="00F8725A" w:rsidRDefault="00F8725A">
      <w:pPr>
        <w:spacing w:after="0"/>
        <w:textAlignment w:val="baseline"/>
        <w:rPr>
          <w:b/>
          <w:bCs/>
          <w:noProof/>
          <w:szCs w:val="24"/>
          <w:lang w:val="en-IE"/>
        </w:rPr>
        <w:sectPr w:rsidR="00F8725A">
          <w:headerReference w:type="even" r:id="rId27"/>
          <w:headerReference w:type="default" r:id="rId28"/>
          <w:footerReference w:type="even" r:id="rId29"/>
          <w:footerReference w:type="default" r:id="rId30"/>
          <w:headerReference w:type="first" r:id="rId31"/>
          <w:footerReference w:type="first" r:id="rId32"/>
          <w:pgSz w:w="16838" w:h="11906" w:orient="landscape"/>
          <w:pgMar w:top="1587" w:right="1020" w:bottom="1701" w:left="1020" w:header="601" w:footer="1077" w:gutter="0"/>
          <w:cols w:space="720"/>
          <w:titlePg/>
          <w:docGrid w:linePitch="326"/>
        </w:sectPr>
      </w:pPr>
    </w:p>
    <w:p w:rsidR="00F8725A" w:rsidRDefault="00F8725A">
      <w:pPr>
        <w:rPr>
          <w:b/>
          <w:noProof/>
          <w:szCs w:val="24"/>
          <w:lang w:val="en-IE"/>
        </w:rPr>
      </w:pPr>
    </w:p>
    <w:p w:rsidR="00F8725A" w:rsidRDefault="00BE7D43">
      <w:pPr>
        <w:jc w:val="left"/>
        <w:rPr>
          <w:b/>
          <w:noProof/>
        </w:rPr>
      </w:pPr>
      <w:r>
        <w:rPr>
          <w:b/>
          <w:bCs/>
          <w:noProof/>
        </w:rPr>
        <w:t>Annexe 2: indemnité d’astreinte</w:t>
      </w:r>
      <w:r>
        <w:rPr>
          <w:noProof/>
          <w:lang w:val="en-US" w:eastAsia="en-US"/>
        </w:rPr>
        <w:drawing>
          <wp:inline distT="0" distB="0" distL="0" distR="0">
            <wp:extent cx="5472430" cy="31848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2430" cy="3184849"/>
                    </a:xfrm>
                    <a:prstGeom prst="rect">
                      <a:avLst/>
                    </a:prstGeom>
                    <a:noFill/>
                    <a:ln>
                      <a:noFill/>
                    </a:ln>
                  </pic:spPr>
                </pic:pic>
              </a:graphicData>
            </a:graphic>
          </wp:inline>
        </w:drawing>
      </w:r>
    </w:p>
    <w:p w:rsidR="00F8725A" w:rsidRDefault="00BE7D43">
      <w:pPr>
        <w:rPr>
          <w:b/>
          <w:noProof/>
        </w:rPr>
      </w:pPr>
      <w:r>
        <w:rPr>
          <w:b/>
          <w:noProof/>
        </w:rPr>
        <w:t xml:space="preserve">Annexe 3: conditions de travail pénibles </w:t>
      </w:r>
    </w:p>
    <w:p w:rsidR="00F8725A" w:rsidRDefault="00BE7D43">
      <w:pPr>
        <w:rPr>
          <w:b/>
          <w:noProof/>
        </w:rPr>
      </w:pPr>
      <w:r>
        <w:rPr>
          <w:noProof/>
          <w:lang w:val="en-US" w:eastAsia="en-US"/>
        </w:rPr>
        <w:drawing>
          <wp:inline distT="0" distB="0" distL="0" distR="0">
            <wp:extent cx="5391150" cy="2560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1150" cy="2560320"/>
                    </a:xfrm>
                    <a:prstGeom prst="rect">
                      <a:avLst/>
                    </a:prstGeom>
                    <a:noFill/>
                    <a:ln>
                      <a:noFill/>
                    </a:ln>
                  </pic:spPr>
                </pic:pic>
              </a:graphicData>
            </a:graphic>
          </wp:inline>
        </w:drawing>
      </w:r>
    </w:p>
    <w:p w:rsidR="00F8725A" w:rsidRDefault="00F8725A">
      <w:pPr>
        <w:rPr>
          <w:b/>
          <w:noProof/>
          <w:lang w:val="en-IE"/>
        </w:rPr>
      </w:pPr>
    </w:p>
    <w:p w:rsidR="00F8725A" w:rsidRDefault="00BE7D43">
      <w:pPr>
        <w:spacing w:after="160" w:line="259" w:lineRule="auto"/>
        <w:jc w:val="left"/>
        <w:rPr>
          <w:b/>
          <w:noProof/>
        </w:rPr>
      </w:pPr>
      <w:r>
        <w:rPr>
          <w:noProof/>
        </w:rPr>
        <w:br w:type="page"/>
      </w:r>
    </w:p>
    <w:p w:rsidR="00F8725A" w:rsidRDefault="00BE7D43">
      <w:pPr>
        <w:rPr>
          <w:b/>
          <w:noProof/>
        </w:rPr>
      </w:pPr>
      <w:r>
        <w:rPr>
          <w:b/>
          <w:noProof/>
        </w:rPr>
        <w:t>Annexe 4: indemnité pour service continu ou par tours</w:t>
      </w:r>
    </w:p>
    <w:p w:rsidR="00F8725A" w:rsidRDefault="00BE7D43">
      <w:pPr>
        <w:rPr>
          <w:b/>
          <w:noProof/>
        </w:rPr>
      </w:pPr>
      <w:r>
        <w:rPr>
          <w:noProof/>
          <w:lang w:val="en-US" w:eastAsia="en-US"/>
        </w:rPr>
        <w:drawing>
          <wp:inline distT="0" distB="0" distL="0" distR="0">
            <wp:extent cx="5048885" cy="39039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885" cy="3903980"/>
                    </a:xfrm>
                    <a:prstGeom prst="rect">
                      <a:avLst/>
                    </a:prstGeom>
                    <a:noFill/>
                    <a:ln>
                      <a:noFill/>
                    </a:ln>
                  </pic:spPr>
                </pic:pic>
              </a:graphicData>
            </a:graphic>
          </wp:inline>
        </w:drawing>
      </w:r>
    </w:p>
    <w:p w:rsidR="00F8725A" w:rsidRDefault="00BE7D43">
      <w:pPr>
        <w:rPr>
          <w:b/>
          <w:noProof/>
        </w:rPr>
      </w:pPr>
      <w:r>
        <w:rPr>
          <w:b/>
          <w:noProof/>
        </w:rPr>
        <w:t>Annexe 5: incidence budgétaire par indemnité</w:t>
      </w:r>
    </w:p>
    <w:p w:rsidR="00F8725A" w:rsidRDefault="00BE7D43">
      <w:pPr>
        <w:rPr>
          <w:b/>
          <w:noProof/>
          <w:szCs w:val="24"/>
        </w:rPr>
      </w:pPr>
      <w:r>
        <w:rPr>
          <w:noProof/>
          <w:lang w:val="en-US" w:eastAsia="en-US"/>
        </w:rPr>
        <w:drawing>
          <wp:inline distT="0" distB="0" distL="0" distR="0">
            <wp:extent cx="4993640" cy="3434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93640" cy="3434715"/>
                    </a:xfrm>
                    <a:prstGeom prst="rect">
                      <a:avLst/>
                    </a:prstGeom>
                    <a:noFill/>
                    <a:ln>
                      <a:noFill/>
                    </a:ln>
                  </pic:spPr>
                </pic:pic>
              </a:graphicData>
            </a:graphic>
          </wp:inline>
        </w:drawing>
      </w:r>
    </w:p>
    <w:p w:rsidR="00F8725A" w:rsidRDefault="00BE7D43">
      <w:pPr>
        <w:rPr>
          <w:noProof/>
        </w:rPr>
      </w:pPr>
      <w:r>
        <w:rPr>
          <w:noProof/>
        </w:rPr>
        <w:br w:type="page"/>
      </w:r>
    </w:p>
    <w:p w:rsidR="00F8725A" w:rsidRDefault="00BE7D43">
      <w:pPr>
        <w:rPr>
          <w:b/>
          <w:noProof/>
          <w:szCs w:val="24"/>
        </w:rPr>
      </w:pPr>
      <w:r>
        <w:rPr>
          <w:b/>
          <w:noProof/>
          <w:szCs w:val="24"/>
        </w:rPr>
        <w:t>Annexe 6: nombre d’agents contractuels pour la période 2014-2018</w:t>
      </w:r>
    </w:p>
    <w:tbl>
      <w:tblPr>
        <w:tblW w:w="6500" w:type="dxa"/>
        <w:tblInd w:w="118" w:type="dxa"/>
        <w:tblLook w:val="04A0" w:firstRow="1" w:lastRow="0" w:firstColumn="1" w:lastColumn="0" w:noHBand="0" w:noVBand="1"/>
      </w:tblPr>
      <w:tblGrid>
        <w:gridCol w:w="2117"/>
        <w:gridCol w:w="816"/>
        <w:gridCol w:w="960"/>
        <w:gridCol w:w="960"/>
        <w:gridCol w:w="960"/>
        <w:gridCol w:w="960"/>
      </w:tblGrid>
      <w:tr w:rsidR="00F8725A">
        <w:trPr>
          <w:trHeight w:val="330"/>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 xml:space="preserve"> </w:t>
            </w:r>
          </w:p>
        </w:tc>
        <w:tc>
          <w:tcPr>
            <w:tcW w:w="543" w:type="dxa"/>
            <w:tcBorders>
              <w:top w:val="single" w:sz="8" w:space="0" w:color="auto"/>
              <w:left w:val="nil"/>
              <w:bottom w:val="single" w:sz="8" w:space="0" w:color="auto"/>
              <w:right w:val="single" w:sz="4" w:space="0" w:color="auto"/>
            </w:tcBorders>
            <w:shd w:val="clear" w:color="000000" w:fill="D9D9D9"/>
            <w:noWrap/>
            <w:vAlign w:val="bottom"/>
            <w:hideMark/>
          </w:tcPr>
          <w:p w:rsidR="00F8725A" w:rsidRDefault="00BE7D43">
            <w:pPr>
              <w:spacing w:after="0"/>
              <w:jc w:val="center"/>
              <w:rPr>
                <w:b/>
                <w:bCs/>
                <w:noProof/>
                <w:color w:val="000000"/>
                <w:szCs w:val="24"/>
              </w:rPr>
            </w:pPr>
            <w:r>
              <w:rPr>
                <w:b/>
                <w:bCs/>
                <w:noProof/>
                <w:color w:val="000000"/>
                <w:szCs w:val="24"/>
              </w:rPr>
              <w:t>2014</w:t>
            </w:r>
          </w:p>
        </w:tc>
        <w:tc>
          <w:tcPr>
            <w:tcW w:w="960" w:type="dxa"/>
            <w:tcBorders>
              <w:top w:val="single" w:sz="8" w:space="0" w:color="auto"/>
              <w:left w:val="nil"/>
              <w:bottom w:val="single" w:sz="8" w:space="0" w:color="auto"/>
              <w:right w:val="single" w:sz="4" w:space="0" w:color="auto"/>
            </w:tcBorders>
            <w:shd w:val="clear" w:color="000000" w:fill="D9D9D9"/>
            <w:noWrap/>
            <w:vAlign w:val="bottom"/>
            <w:hideMark/>
          </w:tcPr>
          <w:p w:rsidR="00F8725A" w:rsidRDefault="00BE7D43">
            <w:pPr>
              <w:spacing w:after="0"/>
              <w:jc w:val="center"/>
              <w:rPr>
                <w:b/>
                <w:bCs/>
                <w:noProof/>
                <w:color w:val="000000"/>
                <w:szCs w:val="24"/>
              </w:rPr>
            </w:pPr>
            <w:r>
              <w:rPr>
                <w:b/>
                <w:bCs/>
                <w:noProof/>
                <w:color w:val="000000"/>
                <w:szCs w:val="24"/>
              </w:rPr>
              <w:t>2015</w:t>
            </w:r>
          </w:p>
        </w:tc>
        <w:tc>
          <w:tcPr>
            <w:tcW w:w="960" w:type="dxa"/>
            <w:tcBorders>
              <w:top w:val="single" w:sz="8" w:space="0" w:color="auto"/>
              <w:left w:val="nil"/>
              <w:bottom w:val="single" w:sz="8" w:space="0" w:color="auto"/>
              <w:right w:val="single" w:sz="4" w:space="0" w:color="auto"/>
            </w:tcBorders>
            <w:shd w:val="clear" w:color="000000" w:fill="D9D9D9"/>
            <w:noWrap/>
            <w:vAlign w:val="bottom"/>
            <w:hideMark/>
          </w:tcPr>
          <w:p w:rsidR="00F8725A" w:rsidRDefault="00BE7D43">
            <w:pPr>
              <w:spacing w:after="0"/>
              <w:jc w:val="center"/>
              <w:rPr>
                <w:b/>
                <w:bCs/>
                <w:noProof/>
                <w:color w:val="000000"/>
                <w:szCs w:val="24"/>
              </w:rPr>
            </w:pPr>
            <w:r>
              <w:rPr>
                <w:b/>
                <w:bCs/>
                <w:noProof/>
                <w:color w:val="000000"/>
                <w:szCs w:val="24"/>
              </w:rPr>
              <w:t>2016</w:t>
            </w:r>
          </w:p>
        </w:tc>
        <w:tc>
          <w:tcPr>
            <w:tcW w:w="960" w:type="dxa"/>
            <w:tcBorders>
              <w:top w:val="single" w:sz="8" w:space="0" w:color="auto"/>
              <w:left w:val="nil"/>
              <w:bottom w:val="single" w:sz="8" w:space="0" w:color="auto"/>
              <w:right w:val="single" w:sz="4" w:space="0" w:color="auto"/>
            </w:tcBorders>
            <w:shd w:val="clear" w:color="000000" w:fill="D9D9D9"/>
            <w:noWrap/>
            <w:vAlign w:val="bottom"/>
            <w:hideMark/>
          </w:tcPr>
          <w:p w:rsidR="00F8725A" w:rsidRDefault="00BE7D43">
            <w:pPr>
              <w:spacing w:after="0"/>
              <w:jc w:val="center"/>
              <w:rPr>
                <w:b/>
                <w:bCs/>
                <w:noProof/>
                <w:color w:val="000000"/>
                <w:szCs w:val="24"/>
              </w:rPr>
            </w:pPr>
            <w:r>
              <w:rPr>
                <w:b/>
                <w:bCs/>
                <w:noProof/>
                <w:color w:val="000000"/>
                <w:szCs w:val="24"/>
              </w:rPr>
              <w:t>2017</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rsidR="00F8725A" w:rsidRDefault="00BE7D43">
            <w:pPr>
              <w:spacing w:after="0"/>
              <w:jc w:val="center"/>
              <w:rPr>
                <w:b/>
                <w:bCs/>
                <w:noProof/>
                <w:color w:val="000000"/>
                <w:szCs w:val="24"/>
              </w:rPr>
            </w:pPr>
            <w:r>
              <w:rPr>
                <w:b/>
                <w:bCs/>
                <w:noProof/>
                <w:color w:val="000000"/>
                <w:szCs w:val="24"/>
              </w:rPr>
              <w:t>2018</w:t>
            </w:r>
          </w:p>
        </w:tc>
      </w:tr>
      <w:tr w:rsidR="00F8725A">
        <w:trPr>
          <w:trHeight w:val="330"/>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rsidR="00F8725A" w:rsidRDefault="00BE7D43">
            <w:pPr>
              <w:spacing w:after="0"/>
              <w:rPr>
                <w:noProof/>
                <w:color w:val="000000"/>
                <w:szCs w:val="24"/>
              </w:rPr>
            </w:pPr>
            <w:r>
              <w:rPr>
                <w:noProof/>
                <w:color w:val="000000"/>
                <w:szCs w:val="24"/>
              </w:rPr>
              <w:t>Commission</w:t>
            </w:r>
          </w:p>
        </w:tc>
        <w:tc>
          <w:tcPr>
            <w:tcW w:w="543"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6440</w:t>
            </w:r>
          </w:p>
        </w:tc>
        <w:tc>
          <w:tcPr>
            <w:tcW w:w="960"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6652</w:t>
            </w:r>
          </w:p>
        </w:tc>
        <w:tc>
          <w:tcPr>
            <w:tcW w:w="960"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7131</w:t>
            </w:r>
          </w:p>
        </w:tc>
        <w:tc>
          <w:tcPr>
            <w:tcW w:w="960"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7165</w:t>
            </w:r>
          </w:p>
        </w:tc>
        <w:tc>
          <w:tcPr>
            <w:tcW w:w="960" w:type="dxa"/>
            <w:tcBorders>
              <w:top w:val="nil"/>
              <w:left w:val="nil"/>
              <w:bottom w:val="single" w:sz="4" w:space="0" w:color="auto"/>
              <w:right w:val="single" w:sz="8"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7238</w:t>
            </w:r>
          </w:p>
        </w:tc>
      </w:tr>
      <w:tr w:rsidR="00F8725A">
        <w:trPr>
          <w:trHeight w:val="330"/>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rsidR="00F8725A" w:rsidRDefault="00BE7D43">
            <w:pPr>
              <w:spacing w:after="0"/>
              <w:rPr>
                <w:noProof/>
                <w:color w:val="000000"/>
                <w:szCs w:val="24"/>
              </w:rPr>
            </w:pPr>
            <w:r>
              <w:rPr>
                <w:noProof/>
                <w:color w:val="000000"/>
                <w:szCs w:val="24"/>
              </w:rPr>
              <w:t>Autres institutions</w:t>
            </w:r>
          </w:p>
        </w:tc>
        <w:tc>
          <w:tcPr>
            <w:tcW w:w="543"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2042</w:t>
            </w:r>
          </w:p>
        </w:tc>
        <w:tc>
          <w:tcPr>
            <w:tcW w:w="960"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2086</w:t>
            </w:r>
          </w:p>
        </w:tc>
        <w:tc>
          <w:tcPr>
            <w:tcW w:w="960"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2254</w:t>
            </w:r>
          </w:p>
        </w:tc>
        <w:tc>
          <w:tcPr>
            <w:tcW w:w="960"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2425</w:t>
            </w:r>
          </w:p>
        </w:tc>
        <w:tc>
          <w:tcPr>
            <w:tcW w:w="960" w:type="dxa"/>
            <w:tcBorders>
              <w:top w:val="nil"/>
              <w:left w:val="nil"/>
              <w:bottom w:val="single" w:sz="4" w:space="0" w:color="auto"/>
              <w:right w:val="single" w:sz="8"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2608</w:t>
            </w:r>
          </w:p>
        </w:tc>
      </w:tr>
      <w:tr w:rsidR="00F8725A">
        <w:trPr>
          <w:trHeight w:val="330"/>
        </w:trPr>
        <w:tc>
          <w:tcPr>
            <w:tcW w:w="2117" w:type="dxa"/>
            <w:tcBorders>
              <w:top w:val="nil"/>
              <w:left w:val="single" w:sz="8" w:space="0" w:color="auto"/>
              <w:bottom w:val="nil"/>
              <w:right w:val="single" w:sz="4" w:space="0" w:color="auto"/>
            </w:tcBorders>
            <w:shd w:val="clear" w:color="auto" w:fill="auto"/>
            <w:noWrap/>
            <w:vAlign w:val="bottom"/>
            <w:hideMark/>
          </w:tcPr>
          <w:p w:rsidR="00F8725A" w:rsidRDefault="00BE7D43">
            <w:pPr>
              <w:spacing w:after="0"/>
              <w:rPr>
                <w:noProof/>
                <w:color w:val="000000"/>
                <w:szCs w:val="24"/>
              </w:rPr>
            </w:pPr>
            <w:r>
              <w:rPr>
                <w:noProof/>
                <w:color w:val="000000"/>
                <w:szCs w:val="24"/>
              </w:rPr>
              <w:t xml:space="preserve">Agences </w:t>
            </w:r>
          </w:p>
        </w:tc>
        <w:tc>
          <w:tcPr>
            <w:tcW w:w="543" w:type="dxa"/>
            <w:tcBorders>
              <w:top w:val="nil"/>
              <w:left w:val="nil"/>
              <w:bottom w:val="nil"/>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2582</w:t>
            </w:r>
          </w:p>
        </w:tc>
        <w:tc>
          <w:tcPr>
            <w:tcW w:w="960" w:type="dxa"/>
            <w:tcBorders>
              <w:top w:val="nil"/>
              <w:left w:val="nil"/>
              <w:bottom w:val="nil"/>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2945</w:t>
            </w:r>
          </w:p>
        </w:tc>
        <w:tc>
          <w:tcPr>
            <w:tcW w:w="960" w:type="dxa"/>
            <w:tcBorders>
              <w:top w:val="nil"/>
              <w:left w:val="nil"/>
              <w:bottom w:val="nil"/>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3490</w:t>
            </w:r>
          </w:p>
        </w:tc>
        <w:tc>
          <w:tcPr>
            <w:tcW w:w="960" w:type="dxa"/>
            <w:tcBorders>
              <w:top w:val="nil"/>
              <w:left w:val="nil"/>
              <w:bottom w:val="nil"/>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3749</w:t>
            </w:r>
          </w:p>
        </w:tc>
        <w:tc>
          <w:tcPr>
            <w:tcW w:w="960" w:type="dxa"/>
            <w:tcBorders>
              <w:top w:val="nil"/>
              <w:left w:val="nil"/>
              <w:bottom w:val="nil"/>
              <w:right w:val="single" w:sz="8"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3995</w:t>
            </w:r>
          </w:p>
        </w:tc>
      </w:tr>
      <w:tr w:rsidR="00F8725A">
        <w:trPr>
          <w:trHeight w:val="340"/>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8725A" w:rsidRDefault="00BE7D43">
            <w:pPr>
              <w:spacing w:after="0"/>
              <w:rPr>
                <w:b/>
                <w:bCs/>
                <w:noProof/>
                <w:color w:val="000000"/>
                <w:szCs w:val="24"/>
              </w:rPr>
            </w:pPr>
            <w:r>
              <w:rPr>
                <w:b/>
                <w:bCs/>
                <w:noProof/>
                <w:color w:val="000000"/>
                <w:szCs w:val="24"/>
              </w:rPr>
              <w:t>Tous</w:t>
            </w:r>
          </w:p>
        </w:tc>
        <w:tc>
          <w:tcPr>
            <w:tcW w:w="543" w:type="dxa"/>
            <w:tcBorders>
              <w:top w:val="single" w:sz="8" w:space="0" w:color="auto"/>
              <w:left w:val="nil"/>
              <w:bottom w:val="single" w:sz="8" w:space="0" w:color="auto"/>
              <w:right w:val="single" w:sz="4" w:space="0" w:color="auto"/>
            </w:tcBorders>
            <w:shd w:val="clear" w:color="auto" w:fill="auto"/>
            <w:noWrap/>
            <w:vAlign w:val="bottom"/>
            <w:hideMark/>
          </w:tcPr>
          <w:p w:rsidR="00F8725A" w:rsidRDefault="00BE7D43">
            <w:pPr>
              <w:spacing w:after="0"/>
              <w:jc w:val="center"/>
              <w:rPr>
                <w:b/>
                <w:bCs/>
                <w:noProof/>
                <w:color w:val="000000"/>
                <w:szCs w:val="24"/>
              </w:rPr>
            </w:pPr>
            <w:r>
              <w:rPr>
                <w:b/>
                <w:bCs/>
                <w:noProof/>
                <w:color w:val="000000"/>
                <w:szCs w:val="24"/>
              </w:rPr>
              <w:t>11064</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F8725A" w:rsidRDefault="00BE7D43">
            <w:pPr>
              <w:spacing w:after="0"/>
              <w:jc w:val="center"/>
              <w:rPr>
                <w:b/>
                <w:bCs/>
                <w:noProof/>
                <w:color w:val="000000"/>
                <w:szCs w:val="24"/>
              </w:rPr>
            </w:pPr>
            <w:r>
              <w:rPr>
                <w:b/>
                <w:bCs/>
                <w:noProof/>
                <w:color w:val="000000"/>
                <w:szCs w:val="24"/>
              </w:rPr>
              <w:t>11683</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F8725A" w:rsidRDefault="00BE7D43">
            <w:pPr>
              <w:spacing w:after="0"/>
              <w:jc w:val="center"/>
              <w:rPr>
                <w:b/>
                <w:bCs/>
                <w:noProof/>
                <w:color w:val="000000"/>
                <w:szCs w:val="24"/>
              </w:rPr>
            </w:pPr>
            <w:r>
              <w:rPr>
                <w:b/>
                <w:bCs/>
                <w:noProof/>
                <w:color w:val="000000"/>
                <w:szCs w:val="24"/>
              </w:rPr>
              <w:t>12875</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F8725A" w:rsidRDefault="00BE7D43">
            <w:pPr>
              <w:spacing w:after="0"/>
              <w:jc w:val="center"/>
              <w:rPr>
                <w:b/>
                <w:bCs/>
                <w:noProof/>
                <w:color w:val="000000"/>
                <w:szCs w:val="24"/>
              </w:rPr>
            </w:pPr>
            <w:r>
              <w:rPr>
                <w:b/>
                <w:bCs/>
                <w:noProof/>
                <w:color w:val="000000"/>
                <w:szCs w:val="24"/>
              </w:rPr>
              <w:t>13339</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8725A" w:rsidRDefault="00BE7D43">
            <w:pPr>
              <w:spacing w:after="0"/>
              <w:jc w:val="center"/>
              <w:rPr>
                <w:b/>
                <w:bCs/>
                <w:noProof/>
                <w:color w:val="000000"/>
                <w:szCs w:val="24"/>
              </w:rPr>
            </w:pPr>
            <w:r>
              <w:rPr>
                <w:b/>
                <w:bCs/>
                <w:noProof/>
                <w:color w:val="000000"/>
                <w:szCs w:val="24"/>
              </w:rPr>
              <w:t>13841</w:t>
            </w:r>
          </w:p>
        </w:tc>
      </w:tr>
    </w:tbl>
    <w:p w:rsidR="00F8725A" w:rsidRDefault="00F8725A">
      <w:pPr>
        <w:rPr>
          <w:noProof/>
          <w:szCs w:val="24"/>
          <w:lang w:val="en-IE"/>
        </w:rPr>
      </w:pPr>
    </w:p>
    <w:p w:rsidR="00F8725A" w:rsidRDefault="00BE7D43">
      <w:pPr>
        <w:keepNext/>
        <w:keepLines/>
        <w:rPr>
          <w:b/>
          <w:noProof/>
          <w:szCs w:val="24"/>
        </w:rPr>
      </w:pPr>
      <w:r>
        <w:rPr>
          <w:b/>
          <w:noProof/>
          <w:szCs w:val="24"/>
        </w:rPr>
        <w:t>Annexe 7: augmentation annuelle du nombre d’agents contractuels pour la période 2014-2018</w:t>
      </w:r>
    </w:p>
    <w:tbl>
      <w:tblPr>
        <w:tblW w:w="7720" w:type="dxa"/>
        <w:tblInd w:w="118" w:type="dxa"/>
        <w:tblLook w:val="04A0" w:firstRow="1" w:lastRow="0" w:firstColumn="1" w:lastColumn="0" w:noHBand="0" w:noVBand="1"/>
      </w:tblPr>
      <w:tblGrid>
        <w:gridCol w:w="1975"/>
        <w:gridCol w:w="696"/>
        <w:gridCol w:w="960"/>
        <w:gridCol w:w="960"/>
        <w:gridCol w:w="960"/>
        <w:gridCol w:w="960"/>
        <w:gridCol w:w="1220"/>
      </w:tblGrid>
      <w:tr w:rsidR="00F8725A">
        <w:trPr>
          <w:trHeight w:val="330"/>
        </w:trPr>
        <w:tc>
          <w:tcPr>
            <w:tcW w:w="19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8725A" w:rsidRDefault="00BE7D43">
            <w:pPr>
              <w:keepNext/>
              <w:keepLines/>
              <w:spacing w:after="0"/>
              <w:rPr>
                <w:noProof/>
                <w:color w:val="000000"/>
                <w:szCs w:val="24"/>
              </w:rPr>
            </w:pPr>
            <w:r>
              <w:rPr>
                <w:noProof/>
                <w:color w:val="000000"/>
                <w:szCs w:val="24"/>
              </w:rPr>
              <w:t xml:space="preserve"> </w:t>
            </w:r>
          </w:p>
        </w:tc>
        <w:tc>
          <w:tcPr>
            <w:tcW w:w="685" w:type="dxa"/>
            <w:tcBorders>
              <w:top w:val="single" w:sz="8" w:space="0" w:color="auto"/>
              <w:left w:val="nil"/>
              <w:bottom w:val="single" w:sz="8" w:space="0" w:color="auto"/>
              <w:right w:val="single" w:sz="4" w:space="0" w:color="auto"/>
            </w:tcBorders>
            <w:shd w:val="clear" w:color="000000" w:fill="D9D9D9"/>
            <w:noWrap/>
            <w:vAlign w:val="bottom"/>
            <w:hideMark/>
          </w:tcPr>
          <w:p w:rsidR="00F8725A" w:rsidRDefault="00BE7D43">
            <w:pPr>
              <w:keepNext/>
              <w:keepLines/>
              <w:spacing w:after="0"/>
              <w:jc w:val="center"/>
              <w:rPr>
                <w:b/>
                <w:bCs/>
                <w:noProof/>
                <w:color w:val="000000"/>
                <w:szCs w:val="24"/>
              </w:rPr>
            </w:pPr>
            <w:r>
              <w:rPr>
                <w:b/>
                <w:bCs/>
                <w:noProof/>
                <w:color w:val="000000"/>
                <w:szCs w:val="24"/>
              </w:rPr>
              <w:t>2014</w:t>
            </w:r>
          </w:p>
        </w:tc>
        <w:tc>
          <w:tcPr>
            <w:tcW w:w="960" w:type="dxa"/>
            <w:tcBorders>
              <w:top w:val="single" w:sz="8" w:space="0" w:color="auto"/>
              <w:left w:val="nil"/>
              <w:bottom w:val="single" w:sz="8" w:space="0" w:color="auto"/>
              <w:right w:val="single" w:sz="4" w:space="0" w:color="auto"/>
            </w:tcBorders>
            <w:shd w:val="clear" w:color="000000" w:fill="D9D9D9"/>
            <w:noWrap/>
            <w:vAlign w:val="bottom"/>
            <w:hideMark/>
          </w:tcPr>
          <w:p w:rsidR="00F8725A" w:rsidRDefault="00BE7D43">
            <w:pPr>
              <w:keepNext/>
              <w:keepLines/>
              <w:spacing w:after="0"/>
              <w:jc w:val="center"/>
              <w:rPr>
                <w:b/>
                <w:bCs/>
                <w:noProof/>
                <w:color w:val="000000"/>
                <w:szCs w:val="24"/>
              </w:rPr>
            </w:pPr>
            <w:r>
              <w:rPr>
                <w:b/>
                <w:bCs/>
                <w:noProof/>
                <w:color w:val="000000"/>
                <w:szCs w:val="24"/>
              </w:rPr>
              <w:t>2015</w:t>
            </w:r>
          </w:p>
        </w:tc>
        <w:tc>
          <w:tcPr>
            <w:tcW w:w="960" w:type="dxa"/>
            <w:tcBorders>
              <w:top w:val="single" w:sz="8" w:space="0" w:color="auto"/>
              <w:left w:val="nil"/>
              <w:bottom w:val="single" w:sz="8" w:space="0" w:color="auto"/>
              <w:right w:val="single" w:sz="4" w:space="0" w:color="auto"/>
            </w:tcBorders>
            <w:shd w:val="clear" w:color="000000" w:fill="D9D9D9"/>
            <w:noWrap/>
            <w:vAlign w:val="bottom"/>
            <w:hideMark/>
          </w:tcPr>
          <w:p w:rsidR="00F8725A" w:rsidRDefault="00BE7D43">
            <w:pPr>
              <w:keepNext/>
              <w:keepLines/>
              <w:spacing w:after="0"/>
              <w:jc w:val="center"/>
              <w:rPr>
                <w:b/>
                <w:bCs/>
                <w:noProof/>
                <w:color w:val="000000"/>
                <w:szCs w:val="24"/>
              </w:rPr>
            </w:pPr>
            <w:r>
              <w:rPr>
                <w:b/>
                <w:bCs/>
                <w:noProof/>
                <w:color w:val="000000"/>
                <w:szCs w:val="24"/>
              </w:rPr>
              <w:t>2016</w:t>
            </w:r>
          </w:p>
        </w:tc>
        <w:tc>
          <w:tcPr>
            <w:tcW w:w="960" w:type="dxa"/>
            <w:tcBorders>
              <w:top w:val="single" w:sz="8" w:space="0" w:color="auto"/>
              <w:left w:val="nil"/>
              <w:bottom w:val="single" w:sz="8" w:space="0" w:color="auto"/>
              <w:right w:val="single" w:sz="4" w:space="0" w:color="auto"/>
            </w:tcBorders>
            <w:shd w:val="clear" w:color="000000" w:fill="D9D9D9"/>
            <w:noWrap/>
            <w:vAlign w:val="bottom"/>
            <w:hideMark/>
          </w:tcPr>
          <w:p w:rsidR="00F8725A" w:rsidRDefault="00BE7D43">
            <w:pPr>
              <w:keepNext/>
              <w:keepLines/>
              <w:spacing w:after="0"/>
              <w:jc w:val="center"/>
              <w:rPr>
                <w:b/>
                <w:bCs/>
                <w:noProof/>
                <w:color w:val="000000"/>
                <w:szCs w:val="24"/>
              </w:rPr>
            </w:pPr>
            <w:r>
              <w:rPr>
                <w:b/>
                <w:bCs/>
                <w:noProof/>
                <w:color w:val="000000"/>
                <w:szCs w:val="24"/>
              </w:rPr>
              <w:t>2017</w:t>
            </w:r>
          </w:p>
        </w:tc>
        <w:tc>
          <w:tcPr>
            <w:tcW w:w="960" w:type="dxa"/>
            <w:tcBorders>
              <w:top w:val="single" w:sz="8" w:space="0" w:color="auto"/>
              <w:left w:val="nil"/>
              <w:bottom w:val="single" w:sz="8" w:space="0" w:color="auto"/>
              <w:right w:val="single" w:sz="4" w:space="0" w:color="auto"/>
            </w:tcBorders>
            <w:shd w:val="clear" w:color="000000" w:fill="D9D9D9"/>
            <w:noWrap/>
            <w:vAlign w:val="bottom"/>
            <w:hideMark/>
          </w:tcPr>
          <w:p w:rsidR="00F8725A" w:rsidRDefault="00BE7D43">
            <w:pPr>
              <w:keepNext/>
              <w:keepLines/>
              <w:spacing w:after="0"/>
              <w:jc w:val="center"/>
              <w:rPr>
                <w:b/>
                <w:bCs/>
                <w:noProof/>
                <w:color w:val="000000"/>
                <w:szCs w:val="24"/>
              </w:rPr>
            </w:pPr>
            <w:r>
              <w:rPr>
                <w:b/>
                <w:bCs/>
                <w:noProof/>
                <w:color w:val="000000"/>
                <w:szCs w:val="24"/>
              </w:rPr>
              <w:t>2018</w:t>
            </w:r>
          </w:p>
        </w:tc>
        <w:tc>
          <w:tcPr>
            <w:tcW w:w="1220" w:type="dxa"/>
            <w:tcBorders>
              <w:top w:val="single" w:sz="8" w:space="0" w:color="auto"/>
              <w:left w:val="nil"/>
              <w:bottom w:val="single" w:sz="8" w:space="0" w:color="auto"/>
              <w:right w:val="single" w:sz="8" w:space="0" w:color="auto"/>
            </w:tcBorders>
            <w:shd w:val="clear" w:color="000000" w:fill="D9D9D9"/>
            <w:noWrap/>
            <w:vAlign w:val="bottom"/>
            <w:hideMark/>
          </w:tcPr>
          <w:p w:rsidR="00F8725A" w:rsidRDefault="00BE7D43">
            <w:pPr>
              <w:keepNext/>
              <w:keepLines/>
              <w:spacing w:after="0"/>
              <w:jc w:val="center"/>
              <w:rPr>
                <w:b/>
                <w:bCs/>
                <w:i/>
                <w:iCs/>
                <w:noProof/>
                <w:color w:val="000000"/>
                <w:szCs w:val="24"/>
              </w:rPr>
            </w:pPr>
            <w:r>
              <w:rPr>
                <w:b/>
                <w:bCs/>
                <w:i/>
                <w:iCs/>
                <w:noProof/>
                <w:color w:val="000000"/>
                <w:szCs w:val="24"/>
              </w:rPr>
              <w:t>2014-2018</w:t>
            </w:r>
          </w:p>
        </w:tc>
      </w:tr>
      <w:tr w:rsidR="00F8725A">
        <w:trPr>
          <w:trHeight w:val="33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F8725A" w:rsidRDefault="00BE7D43">
            <w:pPr>
              <w:spacing w:after="0"/>
              <w:rPr>
                <w:noProof/>
                <w:color w:val="000000"/>
                <w:szCs w:val="24"/>
              </w:rPr>
            </w:pPr>
            <w:r>
              <w:rPr>
                <w:noProof/>
                <w:color w:val="000000"/>
                <w:szCs w:val="24"/>
              </w:rPr>
              <w:t>Commission</w:t>
            </w:r>
          </w:p>
        </w:tc>
        <w:tc>
          <w:tcPr>
            <w:tcW w:w="685"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3,3 %</w:t>
            </w:r>
          </w:p>
        </w:tc>
        <w:tc>
          <w:tcPr>
            <w:tcW w:w="960"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7,2 %</w:t>
            </w:r>
          </w:p>
        </w:tc>
        <w:tc>
          <w:tcPr>
            <w:tcW w:w="960"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0,5 %</w:t>
            </w:r>
          </w:p>
        </w:tc>
        <w:tc>
          <w:tcPr>
            <w:tcW w:w="960"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1,0 %</w:t>
            </w:r>
          </w:p>
        </w:tc>
        <w:tc>
          <w:tcPr>
            <w:tcW w:w="1220" w:type="dxa"/>
            <w:tcBorders>
              <w:top w:val="nil"/>
              <w:left w:val="nil"/>
              <w:bottom w:val="single" w:sz="4" w:space="0" w:color="auto"/>
              <w:right w:val="single" w:sz="8" w:space="0" w:color="auto"/>
            </w:tcBorders>
            <w:shd w:val="clear" w:color="auto" w:fill="auto"/>
            <w:noWrap/>
            <w:vAlign w:val="bottom"/>
            <w:hideMark/>
          </w:tcPr>
          <w:p w:rsidR="00F8725A" w:rsidRDefault="00BE7D43">
            <w:pPr>
              <w:spacing w:after="0"/>
              <w:jc w:val="center"/>
              <w:rPr>
                <w:i/>
                <w:iCs/>
                <w:noProof/>
                <w:color w:val="000000"/>
                <w:szCs w:val="24"/>
              </w:rPr>
            </w:pPr>
            <w:r>
              <w:rPr>
                <w:i/>
                <w:iCs/>
                <w:noProof/>
                <w:color w:val="000000"/>
                <w:szCs w:val="24"/>
              </w:rPr>
              <w:t>12,4 %</w:t>
            </w:r>
          </w:p>
        </w:tc>
      </w:tr>
      <w:tr w:rsidR="00F8725A">
        <w:trPr>
          <w:trHeight w:val="33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F8725A" w:rsidRDefault="00BE7D43">
            <w:pPr>
              <w:spacing w:after="0"/>
              <w:rPr>
                <w:noProof/>
                <w:color w:val="000000"/>
                <w:szCs w:val="24"/>
              </w:rPr>
            </w:pPr>
            <w:r>
              <w:rPr>
                <w:noProof/>
                <w:color w:val="000000"/>
                <w:szCs w:val="24"/>
              </w:rPr>
              <w:t>Autres institutions</w:t>
            </w:r>
          </w:p>
        </w:tc>
        <w:tc>
          <w:tcPr>
            <w:tcW w:w="685"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2,2 %</w:t>
            </w:r>
          </w:p>
        </w:tc>
        <w:tc>
          <w:tcPr>
            <w:tcW w:w="960"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8,1 %</w:t>
            </w:r>
          </w:p>
        </w:tc>
        <w:tc>
          <w:tcPr>
            <w:tcW w:w="960"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7,6 %</w:t>
            </w:r>
          </w:p>
        </w:tc>
        <w:tc>
          <w:tcPr>
            <w:tcW w:w="960" w:type="dxa"/>
            <w:tcBorders>
              <w:top w:val="nil"/>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7,5 %</w:t>
            </w:r>
          </w:p>
        </w:tc>
        <w:tc>
          <w:tcPr>
            <w:tcW w:w="1220" w:type="dxa"/>
            <w:tcBorders>
              <w:top w:val="nil"/>
              <w:left w:val="nil"/>
              <w:bottom w:val="single" w:sz="4" w:space="0" w:color="auto"/>
              <w:right w:val="single" w:sz="8" w:space="0" w:color="auto"/>
            </w:tcBorders>
            <w:shd w:val="clear" w:color="auto" w:fill="auto"/>
            <w:noWrap/>
            <w:vAlign w:val="bottom"/>
            <w:hideMark/>
          </w:tcPr>
          <w:p w:rsidR="00F8725A" w:rsidRDefault="00BE7D43">
            <w:pPr>
              <w:spacing w:after="0"/>
              <w:jc w:val="center"/>
              <w:rPr>
                <w:i/>
                <w:iCs/>
                <w:noProof/>
                <w:color w:val="000000"/>
                <w:szCs w:val="24"/>
              </w:rPr>
            </w:pPr>
            <w:r>
              <w:rPr>
                <w:i/>
                <w:iCs/>
                <w:noProof/>
                <w:color w:val="000000"/>
                <w:szCs w:val="24"/>
              </w:rPr>
              <w:t>27,7 %</w:t>
            </w:r>
          </w:p>
        </w:tc>
      </w:tr>
      <w:tr w:rsidR="00F8725A">
        <w:trPr>
          <w:trHeight w:val="330"/>
        </w:trPr>
        <w:tc>
          <w:tcPr>
            <w:tcW w:w="1975" w:type="dxa"/>
            <w:tcBorders>
              <w:top w:val="nil"/>
              <w:left w:val="single" w:sz="8" w:space="0" w:color="auto"/>
              <w:bottom w:val="nil"/>
              <w:right w:val="single" w:sz="4" w:space="0" w:color="auto"/>
            </w:tcBorders>
            <w:shd w:val="clear" w:color="auto" w:fill="auto"/>
            <w:noWrap/>
            <w:vAlign w:val="bottom"/>
            <w:hideMark/>
          </w:tcPr>
          <w:p w:rsidR="00F8725A" w:rsidRDefault="00BE7D43">
            <w:pPr>
              <w:spacing w:after="0"/>
              <w:rPr>
                <w:noProof/>
                <w:color w:val="000000"/>
                <w:szCs w:val="24"/>
              </w:rPr>
            </w:pPr>
            <w:r>
              <w:rPr>
                <w:noProof/>
                <w:color w:val="000000"/>
                <w:szCs w:val="24"/>
              </w:rPr>
              <w:t xml:space="preserve">Agences </w:t>
            </w:r>
          </w:p>
        </w:tc>
        <w:tc>
          <w:tcPr>
            <w:tcW w:w="685" w:type="dxa"/>
            <w:tcBorders>
              <w:top w:val="nil"/>
              <w:left w:val="nil"/>
              <w:bottom w:val="nil"/>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w:t>
            </w:r>
          </w:p>
        </w:tc>
        <w:tc>
          <w:tcPr>
            <w:tcW w:w="960" w:type="dxa"/>
            <w:tcBorders>
              <w:top w:val="nil"/>
              <w:left w:val="nil"/>
              <w:bottom w:val="nil"/>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14,1 %</w:t>
            </w:r>
          </w:p>
        </w:tc>
        <w:tc>
          <w:tcPr>
            <w:tcW w:w="960" w:type="dxa"/>
            <w:tcBorders>
              <w:top w:val="nil"/>
              <w:left w:val="nil"/>
              <w:bottom w:val="nil"/>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18,5 %</w:t>
            </w:r>
          </w:p>
        </w:tc>
        <w:tc>
          <w:tcPr>
            <w:tcW w:w="960" w:type="dxa"/>
            <w:tcBorders>
              <w:top w:val="nil"/>
              <w:left w:val="nil"/>
              <w:bottom w:val="nil"/>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7,4 %</w:t>
            </w:r>
          </w:p>
        </w:tc>
        <w:tc>
          <w:tcPr>
            <w:tcW w:w="960" w:type="dxa"/>
            <w:tcBorders>
              <w:top w:val="nil"/>
              <w:left w:val="nil"/>
              <w:bottom w:val="nil"/>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6,6 %</w:t>
            </w:r>
          </w:p>
        </w:tc>
        <w:tc>
          <w:tcPr>
            <w:tcW w:w="1220" w:type="dxa"/>
            <w:tcBorders>
              <w:top w:val="nil"/>
              <w:left w:val="nil"/>
              <w:bottom w:val="nil"/>
              <w:right w:val="single" w:sz="8" w:space="0" w:color="auto"/>
            </w:tcBorders>
            <w:shd w:val="clear" w:color="auto" w:fill="auto"/>
            <w:noWrap/>
            <w:vAlign w:val="bottom"/>
            <w:hideMark/>
          </w:tcPr>
          <w:p w:rsidR="00F8725A" w:rsidRDefault="00BE7D43">
            <w:pPr>
              <w:spacing w:after="0"/>
              <w:jc w:val="center"/>
              <w:rPr>
                <w:i/>
                <w:iCs/>
                <w:noProof/>
                <w:color w:val="000000"/>
                <w:szCs w:val="24"/>
              </w:rPr>
            </w:pPr>
            <w:r>
              <w:rPr>
                <w:i/>
                <w:iCs/>
                <w:noProof/>
                <w:color w:val="000000"/>
                <w:szCs w:val="24"/>
              </w:rPr>
              <w:t>54,7 %</w:t>
            </w:r>
          </w:p>
        </w:tc>
      </w:tr>
      <w:tr w:rsidR="00F8725A">
        <w:trPr>
          <w:trHeight w:val="340"/>
        </w:trPr>
        <w:tc>
          <w:tcPr>
            <w:tcW w:w="19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8725A" w:rsidRDefault="00BE7D43">
            <w:pPr>
              <w:spacing w:after="0"/>
              <w:rPr>
                <w:b/>
                <w:bCs/>
                <w:noProof/>
                <w:color w:val="000000"/>
                <w:szCs w:val="24"/>
              </w:rPr>
            </w:pPr>
            <w:r>
              <w:rPr>
                <w:b/>
                <w:bCs/>
                <w:noProof/>
                <w:color w:val="000000"/>
                <w:szCs w:val="24"/>
              </w:rPr>
              <w:t>Tous</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F8725A" w:rsidRDefault="00BE7D43">
            <w:pPr>
              <w:spacing w:after="0"/>
              <w:jc w:val="center"/>
              <w:rPr>
                <w:b/>
                <w:bCs/>
                <w:noProof/>
                <w:color w:val="000000"/>
                <w:szCs w:val="24"/>
              </w:rPr>
            </w:pPr>
            <w:r>
              <w:rPr>
                <w:b/>
                <w:bCs/>
                <w:noProof/>
                <w:color w:val="000000"/>
                <w:szCs w:val="24"/>
              </w:rPr>
              <w:t>--</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F8725A" w:rsidRDefault="00BE7D43">
            <w:pPr>
              <w:spacing w:after="0"/>
              <w:jc w:val="center"/>
              <w:rPr>
                <w:b/>
                <w:bCs/>
                <w:noProof/>
                <w:color w:val="000000"/>
                <w:szCs w:val="24"/>
              </w:rPr>
            </w:pPr>
            <w:r>
              <w:rPr>
                <w:b/>
                <w:bCs/>
                <w:noProof/>
                <w:color w:val="000000"/>
                <w:szCs w:val="24"/>
              </w:rPr>
              <w:t>5,6 %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F8725A" w:rsidRDefault="00BE7D43">
            <w:pPr>
              <w:spacing w:after="0"/>
              <w:jc w:val="center"/>
              <w:rPr>
                <w:b/>
                <w:bCs/>
                <w:noProof/>
                <w:color w:val="000000"/>
                <w:szCs w:val="24"/>
              </w:rPr>
            </w:pPr>
            <w:r>
              <w:rPr>
                <w:b/>
                <w:bCs/>
                <w:noProof/>
                <w:color w:val="000000"/>
                <w:szCs w:val="24"/>
              </w:rPr>
              <w:t>10,2 %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F8725A" w:rsidRDefault="00BE7D43">
            <w:pPr>
              <w:spacing w:after="0"/>
              <w:jc w:val="center"/>
              <w:rPr>
                <w:b/>
                <w:bCs/>
                <w:noProof/>
                <w:color w:val="000000"/>
                <w:szCs w:val="24"/>
              </w:rPr>
            </w:pPr>
            <w:r>
              <w:rPr>
                <w:b/>
                <w:bCs/>
                <w:noProof/>
                <w:color w:val="000000"/>
                <w:szCs w:val="24"/>
              </w:rPr>
              <w:t>3,6 %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F8725A" w:rsidRDefault="00BE7D43">
            <w:pPr>
              <w:spacing w:after="0"/>
              <w:jc w:val="center"/>
              <w:rPr>
                <w:b/>
                <w:bCs/>
                <w:noProof/>
                <w:color w:val="000000"/>
                <w:szCs w:val="24"/>
              </w:rPr>
            </w:pPr>
            <w:r>
              <w:rPr>
                <w:b/>
                <w:bCs/>
                <w:noProof/>
                <w:color w:val="000000"/>
                <w:szCs w:val="24"/>
              </w:rPr>
              <w:t>3,8 %</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F8725A" w:rsidRDefault="00BE7D43">
            <w:pPr>
              <w:spacing w:after="0"/>
              <w:jc w:val="center"/>
              <w:rPr>
                <w:b/>
                <w:bCs/>
                <w:i/>
                <w:iCs/>
                <w:noProof/>
                <w:color w:val="000000"/>
                <w:szCs w:val="24"/>
              </w:rPr>
            </w:pPr>
            <w:r>
              <w:rPr>
                <w:b/>
                <w:bCs/>
                <w:i/>
                <w:iCs/>
                <w:noProof/>
                <w:color w:val="000000"/>
                <w:szCs w:val="24"/>
              </w:rPr>
              <w:t>25,1 %</w:t>
            </w:r>
          </w:p>
        </w:tc>
      </w:tr>
    </w:tbl>
    <w:p w:rsidR="00F8725A" w:rsidRDefault="00F8725A">
      <w:pPr>
        <w:rPr>
          <w:b/>
          <w:noProof/>
          <w:szCs w:val="24"/>
          <w:lang w:val="en-IE"/>
        </w:rPr>
      </w:pPr>
    </w:p>
    <w:p w:rsidR="00F8725A" w:rsidRDefault="00BE7D43">
      <w:pPr>
        <w:spacing w:after="160" w:line="259" w:lineRule="auto"/>
        <w:jc w:val="left"/>
        <w:rPr>
          <w:b/>
          <w:noProof/>
          <w:szCs w:val="24"/>
        </w:rPr>
      </w:pPr>
      <w:r>
        <w:rPr>
          <w:b/>
          <w:noProof/>
          <w:szCs w:val="24"/>
        </w:rPr>
        <w:br w:type="page"/>
      </w:r>
    </w:p>
    <w:p w:rsidR="00F8725A" w:rsidRDefault="00BE7D43">
      <w:pPr>
        <w:rPr>
          <w:b/>
          <w:noProof/>
          <w:szCs w:val="24"/>
        </w:rPr>
      </w:pPr>
      <w:r>
        <w:rPr>
          <w:b/>
          <w:noProof/>
          <w:szCs w:val="24"/>
        </w:rPr>
        <w:t>Annexe 8: répartition par nationalité en 2014 et en 2018, GF IV</w:t>
      </w:r>
    </w:p>
    <w:tbl>
      <w:tblPr>
        <w:tblW w:w="6722" w:type="dxa"/>
        <w:tblInd w:w="118" w:type="dxa"/>
        <w:tblLook w:val="04A0" w:firstRow="1" w:lastRow="0" w:firstColumn="1" w:lastColumn="0" w:noHBand="0" w:noVBand="1"/>
      </w:tblPr>
      <w:tblGrid>
        <w:gridCol w:w="844"/>
        <w:gridCol w:w="944"/>
        <w:gridCol w:w="1093"/>
        <w:gridCol w:w="960"/>
        <w:gridCol w:w="844"/>
        <w:gridCol w:w="944"/>
        <w:gridCol w:w="1093"/>
      </w:tblGrid>
      <w:tr w:rsidR="00F8725A">
        <w:trPr>
          <w:trHeight w:val="300"/>
        </w:trPr>
        <w:tc>
          <w:tcPr>
            <w:tcW w:w="288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2014</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288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2018</w:t>
            </w:r>
          </w:p>
        </w:tc>
      </w:tr>
      <w:tr w:rsidR="00F8725A">
        <w:trPr>
          <w:trHeight w:val="300"/>
        </w:trPr>
        <w:tc>
          <w:tcPr>
            <w:tcW w:w="8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1093"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1093"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300"/>
        </w:trPr>
        <w:tc>
          <w:tcPr>
            <w:tcW w:w="8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GF IV</w:t>
            </w:r>
          </w:p>
        </w:tc>
        <w:tc>
          <w:tcPr>
            <w:tcW w:w="944" w:type="dxa"/>
            <w:tcBorders>
              <w:top w:val="single" w:sz="8" w:space="0" w:color="auto"/>
              <w:left w:val="nil"/>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TOTAL</w:t>
            </w:r>
          </w:p>
        </w:tc>
        <w:tc>
          <w:tcPr>
            <w:tcW w:w="1093" w:type="dxa"/>
            <w:tcBorders>
              <w:top w:val="single" w:sz="8" w:space="0" w:color="auto"/>
              <w:left w:val="nil"/>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GF IV</w:t>
            </w:r>
          </w:p>
        </w:tc>
        <w:tc>
          <w:tcPr>
            <w:tcW w:w="944" w:type="dxa"/>
            <w:tcBorders>
              <w:top w:val="single" w:sz="8" w:space="0" w:color="auto"/>
              <w:left w:val="nil"/>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TOTAL</w:t>
            </w:r>
          </w:p>
        </w:tc>
        <w:tc>
          <w:tcPr>
            <w:tcW w:w="1093" w:type="dxa"/>
            <w:tcBorders>
              <w:top w:val="single" w:sz="8" w:space="0" w:color="auto"/>
              <w:left w:val="nil"/>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377</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19,70 %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680</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23,20 %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FR</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326</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17,10 %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FR</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13,80 %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ES</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10,60 %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ES</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346</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11,80 %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190</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8,00 %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6,40 %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178</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6,10 %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3,70 %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5,50 %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BG</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66</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3,50 %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RO</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118</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RO</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3,40 %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96</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UK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57</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3,20 %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BG</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70</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2,40 %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HU</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58</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1,90 %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UK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HU</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1,90 %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HR</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NL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48</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NL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FI</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SI</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0,90 %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CZ</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0,90 %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0,70 %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FI</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0,90 %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0,70 %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SI</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0,90 %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Autres</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0,90 %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CZ</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HR</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0,70 %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CY</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0,50 %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LV</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LV</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0,50 %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0,50 %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MT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0,30 %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CY</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0,40 %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Autres</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0,20 %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LU</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0,20 %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LU</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MT</w:t>
            </w:r>
          </w:p>
        </w:tc>
        <w:tc>
          <w:tcPr>
            <w:tcW w:w="944" w:type="dxa"/>
            <w:tcBorders>
              <w:top w:val="nil"/>
              <w:left w:val="nil"/>
              <w:bottom w:val="nil"/>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w:t>
            </w:r>
          </w:p>
        </w:tc>
        <w:tc>
          <w:tcPr>
            <w:tcW w:w="1093" w:type="dxa"/>
            <w:tcBorders>
              <w:top w:val="nil"/>
              <w:left w:val="nil"/>
              <w:bottom w:val="nil"/>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TOTAL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1 909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100,00 %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TOTAL</w:t>
            </w:r>
          </w:p>
        </w:tc>
        <w:tc>
          <w:tcPr>
            <w:tcW w:w="944" w:type="dxa"/>
            <w:tcBorders>
              <w:top w:val="single" w:sz="8" w:space="0" w:color="auto"/>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2937</w:t>
            </w:r>
          </w:p>
        </w:tc>
        <w:tc>
          <w:tcPr>
            <w:tcW w:w="1093" w:type="dxa"/>
            <w:tcBorders>
              <w:top w:val="single" w:sz="8" w:space="0" w:color="auto"/>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100,00 %</w:t>
            </w:r>
          </w:p>
        </w:tc>
      </w:tr>
    </w:tbl>
    <w:p w:rsidR="00F8725A" w:rsidRDefault="00F8725A">
      <w:pPr>
        <w:rPr>
          <w:b/>
          <w:noProof/>
          <w:szCs w:val="24"/>
          <w:lang w:val="en-IE"/>
        </w:rPr>
      </w:pPr>
    </w:p>
    <w:p w:rsidR="00F8725A" w:rsidRDefault="00F8725A">
      <w:pPr>
        <w:rPr>
          <w:b/>
          <w:noProof/>
          <w:szCs w:val="24"/>
          <w:lang w:val="en-IE"/>
        </w:rPr>
      </w:pPr>
    </w:p>
    <w:p w:rsidR="00F8725A" w:rsidRDefault="00F8725A">
      <w:pPr>
        <w:rPr>
          <w:b/>
          <w:noProof/>
          <w:szCs w:val="24"/>
          <w:lang w:val="en-IE"/>
        </w:rPr>
      </w:pPr>
    </w:p>
    <w:p w:rsidR="00F8725A" w:rsidRDefault="00F8725A">
      <w:pPr>
        <w:rPr>
          <w:b/>
          <w:noProof/>
          <w:szCs w:val="24"/>
          <w:lang w:val="en-IE"/>
        </w:rPr>
      </w:pPr>
    </w:p>
    <w:p w:rsidR="00F8725A" w:rsidRDefault="00F8725A">
      <w:pPr>
        <w:rPr>
          <w:b/>
          <w:noProof/>
          <w:szCs w:val="24"/>
          <w:lang w:val="en-IE"/>
        </w:rPr>
      </w:pPr>
    </w:p>
    <w:p w:rsidR="00F8725A" w:rsidRDefault="00F8725A">
      <w:pPr>
        <w:rPr>
          <w:b/>
          <w:noProof/>
          <w:szCs w:val="24"/>
          <w:lang w:val="en-IE"/>
        </w:rPr>
      </w:pPr>
    </w:p>
    <w:p w:rsidR="00F8725A" w:rsidRDefault="00F8725A">
      <w:pPr>
        <w:rPr>
          <w:b/>
          <w:noProof/>
          <w:szCs w:val="24"/>
          <w:lang w:val="en-IE"/>
        </w:rPr>
      </w:pPr>
    </w:p>
    <w:p w:rsidR="00F8725A" w:rsidRDefault="00BE7D43">
      <w:pPr>
        <w:rPr>
          <w:b/>
          <w:noProof/>
          <w:szCs w:val="24"/>
        </w:rPr>
      </w:pPr>
      <w:r>
        <w:rPr>
          <w:b/>
          <w:noProof/>
          <w:szCs w:val="24"/>
        </w:rPr>
        <w:t>Annexe 9: répartition par nationalité en 2014 et en 2018, GF III</w:t>
      </w:r>
    </w:p>
    <w:p w:rsidR="00F8725A" w:rsidRDefault="00BE7D43">
      <w:pPr>
        <w:rPr>
          <w:noProof/>
          <w:szCs w:val="24"/>
        </w:rPr>
      </w:pPr>
      <w:r>
        <w:rPr>
          <w:noProof/>
        </w:rPr>
        <w:t xml:space="preserve"> </w:t>
      </w:r>
    </w:p>
    <w:tbl>
      <w:tblPr>
        <w:tblW w:w="6722" w:type="dxa"/>
        <w:tblInd w:w="118" w:type="dxa"/>
        <w:tblLook w:val="04A0" w:firstRow="1" w:lastRow="0" w:firstColumn="1" w:lastColumn="0" w:noHBand="0" w:noVBand="1"/>
      </w:tblPr>
      <w:tblGrid>
        <w:gridCol w:w="844"/>
        <w:gridCol w:w="944"/>
        <w:gridCol w:w="1093"/>
        <w:gridCol w:w="960"/>
        <w:gridCol w:w="844"/>
        <w:gridCol w:w="944"/>
        <w:gridCol w:w="1093"/>
      </w:tblGrid>
      <w:tr w:rsidR="00F8725A">
        <w:trPr>
          <w:trHeight w:val="300"/>
        </w:trPr>
        <w:tc>
          <w:tcPr>
            <w:tcW w:w="288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2014</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288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2018</w:t>
            </w:r>
          </w:p>
        </w:tc>
      </w:tr>
      <w:tr w:rsidR="00F8725A">
        <w:trPr>
          <w:trHeight w:val="300"/>
        </w:trPr>
        <w:tc>
          <w:tcPr>
            <w:tcW w:w="8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1093"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1093"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300"/>
        </w:trPr>
        <w:tc>
          <w:tcPr>
            <w:tcW w:w="8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GF III</w:t>
            </w:r>
          </w:p>
        </w:tc>
        <w:tc>
          <w:tcPr>
            <w:tcW w:w="944" w:type="dxa"/>
            <w:tcBorders>
              <w:top w:val="single" w:sz="8" w:space="0" w:color="auto"/>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TOTAL</w:t>
            </w:r>
          </w:p>
        </w:tc>
        <w:tc>
          <w:tcPr>
            <w:tcW w:w="1093" w:type="dxa"/>
            <w:tcBorders>
              <w:top w:val="single" w:sz="8" w:space="0" w:color="auto"/>
              <w:left w:val="nil"/>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GF III</w:t>
            </w:r>
          </w:p>
        </w:tc>
        <w:tc>
          <w:tcPr>
            <w:tcW w:w="944" w:type="dxa"/>
            <w:tcBorders>
              <w:top w:val="single" w:sz="8" w:space="0" w:color="auto"/>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TOTAL</w:t>
            </w:r>
          </w:p>
        </w:tc>
        <w:tc>
          <w:tcPr>
            <w:tcW w:w="1093" w:type="dxa"/>
            <w:tcBorders>
              <w:top w:val="single" w:sz="8" w:space="0" w:color="auto"/>
              <w:left w:val="nil"/>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226</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19,58 %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262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18,80 %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13,43 %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FR</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166</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11,90 %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FR</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130</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11,27 %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11,40 %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ES</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9,97 %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ES</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136</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9,80 %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RO</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8,75 %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118</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8,50 %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6,85 %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RO</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88</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6,30 %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48</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4,16 %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4,60 %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3,81 %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4,50 %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BG</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3,64 %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BG</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3,20 %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2,69 %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UK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1,99 %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UK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HU</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1,82 %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HU</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1,65 %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NL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1,39 %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1,21 %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LV</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1,13 %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CZ</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HR</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1,04 %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SI</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SI</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0,87 %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HR</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0,78 %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0,90 %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FI</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0,69 %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CY</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0,70 %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NL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0,69 %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LV</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0,70 %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CZ</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0,61 %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0,61 %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FI</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0,43 %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0,43 %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CY</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0,35 %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0,50 %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MT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0,09 %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MT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0,20 %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Autres</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0,09 %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LU</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LU</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Autres</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TOTAL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1154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100,00 %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TOTAL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1391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100,00 %</w:t>
            </w:r>
          </w:p>
        </w:tc>
      </w:tr>
    </w:tbl>
    <w:p w:rsidR="00F8725A" w:rsidRDefault="00F8725A">
      <w:pPr>
        <w:rPr>
          <w:noProof/>
          <w:szCs w:val="24"/>
          <w:lang w:val="en-IE"/>
        </w:rPr>
      </w:pPr>
    </w:p>
    <w:p w:rsidR="00F8725A" w:rsidRDefault="00BE7D43">
      <w:pPr>
        <w:spacing w:after="0"/>
        <w:jc w:val="left"/>
        <w:rPr>
          <w:noProof/>
          <w:szCs w:val="24"/>
        </w:rPr>
      </w:pPr>
      <w:r>
        <w:rPr>
          <w:noProof/>
        </w:rPr>
        <w:br w:type="page"/>
      </w:r>
    </w:p>
    <w:p w:rsidR="00F8725A" w:rsidRDefault="00BE7D43">
      <w:pPr>
        <w:rPr>
          <w:b/>
          <w:noProof/>
          <w:szCs w:val="24"/>
        </w:rPr>
      </w:pPr>
      <w:r>
        <w:rPr>
          <w:b/>
          <w:noProof/>
          <w:szCs w:val="24"/>
        </w:rPr>
        <w:t>Annexe 10: répartition par nationalité en 2014 et en 2018, GF II</w:t>
      </w:r>
    </w:p>
    <w:tbl>
      <w:tblPr>
        <w:tblW w:w="6721" w:type="dxa"/>
        <w:tblInd w:w="118" w:type="dxa"/>
        <w:tblLook w:val="04A0" w:firstRow="1" w:lastRow="0" w:firstColumn="1" w:lastColumn="0" w:noHBand="0" w:noVBand="1"/>
      </w:tblPr>
      <w:tblGrid>
        <w:gridCol w:w="844"/>
        <w:gridCol w:w="944"/>
        <w:gridCol w:w="1093"/>
        <w:gridCol w:w="960"/>
        <w:gridCol w:w="893"/>
        <w:gridCol w:w="999"/>
        <w:gridCol w:w="988"/>
      </w:tblGrid>
      <w:tr w:rsidR="00F8725A">
        <w:trPr>
          <w:trHeight w:val="300"/>
        </w:trPr>
        <w:tc>
          <w:tcPr>
            <w:tcW w:w="288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2014</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2018</w:t>
            </w:r>
          </w:p>
        </w:tc>
      </w:tr>
      <w:tr w:rsidR="00F8725A">
        <w:trPr>
          <w:trHeight w:val="300"/>
        </w:trPr>
        <w:tc>
          <w:tcPr>
            <w:tcW w:w="8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1093"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99"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88"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300"/>
        </w:trPr>
        <w:tc>
          <w:tcPr>
            <w:tcW w:w="8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GF II</w:t>
            </w:r>
          </w:p>
        </w:tc>
        <w:tc>
          <w:tcPr>
            <w:tcW w:w="944" w:type="dxa"/>
            <w:tcBorders>
              <w:top w:val="single" w:sz="8" w:space="0" w:color="auto"/>
              <w:left w:val="nil"/>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TOTAL</w:t>
            </w:r>
          </w:p>
        </w:tc>
        <w:tc>
          <w:tcPr>
            <w:tcW w:w="1093" w:type="dxa"/>
            <w:tcBorders>
              <w:top w:val="single" w:sz="8" w:space="0" w:color="auto"/>
              <w:left w:val="nil"/>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nil"/>
              <w:bottom w:val="nil"/>
              <w:right w:val="nil"/>
            </w:tcBorders>
            <w:shd w:val="clear" w:color="auto" w:fill="auto"/>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GF II</w:t>
            </w:r>
          </w:p>
        </w:tc>
        <w:tc>
          <w:tcPr>
            <w:tcW w:w="999" w:type="dxa"/>
            <w:tcBorders>
              <w:top w:val="single" w:sz="8" w:space="0" w:color="auto"/>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TOTAL</w:t>
            </w:r>
          </w:p>
        </w:tc>
        <w:tc>
          <w:tcPr>
            <w:tcW w:w="988" w:type="dxa"/>
            <w:tcBorders>
              <w:top w:val="single" w:sz="8" w:space="0" w:color="auto"/>
              <w:left w:val="nil"/>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w:t>
            </w:r>
          </w:p>
        </w:tc>
      </w:tr>
      <w:tr w:rsidR="00F8725A">
        <w:trPr>
          <w:trHeight w:val="300"/>
        </w:trPr>
        <w:tc>
          <w:tcPr>
            <w:tcW w:w="844" w:type="dxa"/>
            <w:tcBorders>
              <w:top w:val="single" w:sz="8" w:space="0" w:color="auto"/>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677</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26,73 %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single" w:sz="8" w:space="0" w:color="auto"/>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BE</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579</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27,40 %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389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15,36 %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IT</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308</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14,60 %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FR</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10,86 %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FR</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259</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12,30 %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RO</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8,76 %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ES</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192</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9,10 %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ES</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213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8,41 %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RO</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136</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6,40 %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5,21 %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EL</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101</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4,80 %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108</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4,26 %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PL</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96</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4,50 %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77</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3,04 %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PT</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62</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BG</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76</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BG</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43</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HU</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2,05 %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HU</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42</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37</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1,46 %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DE</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1,22 %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LT</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1,22 %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SK</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UK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1,14 %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CZ</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FI</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0,91 %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UK</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NL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0,87 %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SI</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21</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LV</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0,83 %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LV</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0,90 %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CZ</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0,79 %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HR</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0,90 %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0,59 %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FI</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0,80 %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SI</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0,55 %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EE</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0,70 %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HR</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0,51 %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NL</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0,70 %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0,43 %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IE</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CY</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0,39 %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SE</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0,36 %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CY</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0,50 %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0,36 %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AT</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0,40 %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0,36 %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DK</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0,30 %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MT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0,16 %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MT</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0,20 %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Autres</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0,12 %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LU</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0,10 %</w:t>
            </w:r>
          </w:p>
        </w:tc>
      </w:tr>
      <w:tr w:rsidR="00F8725A">
        <w:trPr>
          <w:trHeight w:val="300"/>
        </w:trPr>
        <w:tc>
          <w:tcPr>
            <w:tcW w:w="844" w:type="dxa"/>
            <w:tcBorders>
              <w:top w:val="nil"/>
              <w:left w:val="single" w:sz="8" w:space="0" w:color="auto"/>
              <w:bottom w:val="nil"/>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LU</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0,04 %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nil"/>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Autres</w:t>
            </w:r>
          </w:p>
        </w:tc>
        <w:tc>
          <w:tcPr>
            <w:tcW w:w="999" w:type="dxa"/>
            <w:tcBorders>
              <w:top w:val="nil"/>
              <w:left w:val="nil"/>
              <w:bottom w:val="nil"/>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w:t>
            </w:r>
          </w:p>
        </w:tc>
        <w:tc>
          <w:tcPr>
            <w:tcW w:w="988" w:type="dxa"/>
            <w:tcBorders>
              <w:top w:val="nil"/>
              <w:left w:val="nil"/>
              <w:bottom w:val="nil"/>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300"/>
        </w:trPr>
        <w:tc>
          <w:tcPr>
            <w:tcW w:w="844" w:type="dxa"/>
            <w:tcBorders>
              <w:top w:val="single" w:sz="8" w:space="0" w:color="auto"/>
              <w:left w:val="single" w:sz="8" w:space="0" w:color="auto"/>
              <w:bottom w:val="nil"/>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TOTAL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2533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100,00 %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single" w:sz="8" w:space="0" w:color="auto"/>
              <w:left w:val="single" w:sz="8" w:space="0" w:color="auto"/>
              <w:bottom w:val="nil"/>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TOTAL</w:t>
            </w:r>
          </w:p>
        </w:tc>
        <w:tc>
          <w:tcPr>
            <w:tcW w:w="999" w:type="dxa"/>
            <w:tcBorders>
              <w:top w:val="single" w:sz="8" w:space="0" w:color="auto"/>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2112</w:t>
            </w:r>
          </w:p>
        </w:tc>
        <w:tc>
          <w:tcPr>
            <w:tcW w:w="988" w:type="dxa"/>
            <w:tcBorders>
              <w:top w:val="single" w:sz="8" w:space="0" w:color="auto"/>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100 %</w:t>
            </w:r>
          </w:p>
        </w:tc>
      </w:tr>
    </w:tbl>
    <w:p w:rsidR="00F8725A" w:rsidRDefault="00F8725A">
      <w:pPr>
        <w:rPr>
          <w:noProof/>
          <w:szCs w:val="24"/>
          <w:lang w:val="en-IE"/>
        </w:rPr>
      </w:pPr>
    </w:p>
    <w:p w:rsidR="00F8725A" w:rsidRDefault="00BE7D43">
      <w:pPr>
        <w:spacing w:after="0"/>
        <w:jc w:val="left"/>
        <w:rPr>
          <w:noProof/>
          <w:szCs w:val="24"/>
        </w:rPr>
      </w:pPr>
      <w:r>
        <w:rPr>
          <w:noProof/>
        </w:rPr>
        <w:br w:type="page"/>
      </w:r>
    </w:p>
    <w:p w:rsidR="00F8725A" w:rsidRDefault="00BE7D43">
      <w:pPr>
        <w:rPr>
          <w:b/>
          <w:noProof/>
          <w:szCs w:val="24"/>
        </w:rPr>
      </w:pPr>
      <w:r>
        <w:rPr>
          <w:b/>
          <w:noProof/>
          <w:szCs w:val="24"/>
        </w:rPr>
        <w:t>Annexe 11: répartition par nationalité en 2014 et en 2018, GF I</w:t>
      </w:r>
    </w:p>
    <w:tbl>
      <w:tblPr>
        <w:tblW w:w="6721" w:type="dxa"/>
        <w:tblInd w:w="118" w:type="dxa"/>
        <w:tblLook w:val="04A0" w:firstRow="1" w:lastRow="0" w:firstColumn="1" w:lastColumn="0" w:noHBand="0" w:noVBand="1"/>
      </w:tblPr>
      <w:tblGrid>
        <w:gridCol w:w="844"/>
        <w:gridCol w:w="944"/>
        <w:gridCol w:w="1093"/>
        <w:gridCol w:w="960"/>
        <w:gridCol w:w="893"/>
        <w:gridCol w:w="999"/>
        <w:gridCol w:w="988"/>
      </w:tblGrid>
      <w:tr w:rsidR="00F8725A">
        <w:trPr>
          <w:trHeight w:val="300"/>
        </w:trPr>
        <w:tc>
          <w:tcPr>
            <w:tcW w:w="288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2014</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2018</w:t>
            </w:r>
          </w:p>
        </w:tc>
      </w:tr>
      <w:tr w:rsidR="00F8725A">
        <w:trPr>
          <w:trHeight w:val="300"/>
        </w:trPr>
        <w:tc>
          <w:tcPr>
            <w:tcW w:w="8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1093"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99"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88"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320"/>
        </w:trPr>
        <w:tc>
          <w:tcPr>
            <w:tcW w:w="844"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GF I</w:t>
            </w:r>
          </w:p>
        </w:tc>
        <w:tc>
          <w:tcPr>
            <w:tcW w:w="944" w:type="dxa"/>
            <w:tcBorders>
              <w:top w:val="single" w:sz="8" w:space="0" w:color="auto"/>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TOTAL</w:t>
            </w:r>
          </w:p>
        </w:tc>
        <w:tc>
          <w:tcPr>
            <w:tcW w:w="1093" w:type="dxa"/>
            <w:tcBorders>
              <w:top w:val="single" w:sz="8" w:space="0" w:color="auto"/>
              <w:left w:val="nil"/>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GF I</w:t>
            </w:r>
          </w:p>
        </w:tc>
        <w:tc>
          <w:tcPr>
            <w:tcW w:w="999" w:type="dxa"/>
            <w:tcBorders>
              <w:top w:val="single" w:sz="8" w:space="0" w:color="auto"/>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TOTAL</w:t>
            </w:r>
          </w:p>
        </w:tc>
        <w:tc>
          <w:tcPr>
            <w:tcW w:w="988" w:type="dxa"/>
            <w:tcBorders>
              <w:top w:val="single" w:sz="8" w:space="0" w:color="auto"/>
              <w:left w:val="nil"/>
              <w:bottom w:val="single" w:sz="8" w:space="0" w:color="auto"/>
              <w:right w:val="single" w:sz="8" w:space="0" w:color="auto"/>
            </w:tcBorders>
            <w:shd w:val="clear" w:color="000000" w:fill="666699"/>
            <w:noWrap/>
            <w:vAlign w:val="center"/>
            <w:hideMark/>
          </w:tcPr>
          <w:p w:rsidR="00F8725A" w:rsidRDefault="00BE7D43">
            <w:pPr>
              <w:spacing w:after="0"/>
              <w:jc w:val="center"/>
              <w:rPr>
                <w:rFonts w:ascii="Arial" w:hAnsi="Arial" w:cs="Arial"/>
                <w:b/>
                <w:bCs/>
                <w:noProof/>
                <w:color w:val="FFFFFF"/>
                <w:sz w:val="20"/>
              </w:rPr>
            </w:pPr>
            <w:r>
              <w:rPr>
                <w:rFonts w:ascii="Arial" w:hAnsi="Arial"/>
                <w:b/>
                <w:bCs/>
                <w:noProof/>
                <w:color w:val="FFFFFF"/>
                <w:sz w:val="20"/>
              </w:rPr>
              <w:t>%</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311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36,85 %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BE</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297</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37,20 %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213</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25,24 %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IT</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205</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25,70 %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FR</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78</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9,24 %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ES</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68</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8,50 %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ES</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8,77 %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FR</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67</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8,40 %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4,86 %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EL</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39</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4,90 %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38</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4,50 %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PT</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39</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4,90 %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2,96 %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PL</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24</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UK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RO</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RO</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1,18 %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UK</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0,90 %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0,59 %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FI</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0,59 %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IE</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0,60 %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FI</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0,47 %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DE</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0,50 %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HU</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0,47 %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HU</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0,40 %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NL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0,47 %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NL</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0,40 %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BG</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0,24 %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SI</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0,40 %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CZ</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0,24 %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BG</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0,30 %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0,24 %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CZ</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0,30 %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0,24 %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DK</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0,30 %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LU</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0,24 %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EE</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0,30 %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LV</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0,24 %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LV</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0,30 %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SK</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0,24 %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LU</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0,30 %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SI</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0,24 %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SK</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0,30 %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CY</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0,12 %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HR</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HR</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0,12 %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CY</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0,12 %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LT</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MT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0,12 %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MT</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0,10 %</w:t>
            </w:r>
          </w:p>
        </w:tc>
      </w:tr>
      <w:tr w:rsidR="00F8725A">
        <w:trPr>
          <w:trHeight w:val="300"/>
        </w:trPr>
        <w:tc>
          <w:tcPr>
            <w:tcW w:w="844"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SE</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0,12 %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AT</w:t>
            </w:r>
          </w:p>
        </w:tc>
        <w:tc>
          <w:tcPr>
            <w:tcW w:w="999"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w:t>
            </w:r>
          </w:p>
        </w:tc>
        <w:tc>
          <w:tcPr>
            <w:tcW w:w="988"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300"/>
        </w:trPr>
        <w:tc>
          <w:tcPr>
            <w:tcW w:w="844" w:type="dxa"/>
            <w:tcBorders>
              <w:top w:val="nil"/>
              <w:left w:val="single" w:sz="8" w:space="0" w:color="auto"/>
              <w:bottom w:val="nil"/>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AT</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single" w:sz="8" w:space="0" w:color="auto"/>
              <w:bottom w:val="nil"/>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SE</w:t>
            </w:r>
          </w:p>
        </w:tc>
        <w:tc>
          <w:tcPr>
            <w:tcW w:w="999" w:type="dxa"/>
            <w:tcBorders>
              <w:top w:val="nil"/>
              <w:left w:val="nil"/>
              <w:bottom w:val="nil"/>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w:t>
            </w:r>
          </w:p>
        </w:tc>
        <w:tc>
          <w:tcPr>
            <w:tcW w:w="988" w:type="dxa"/>
            <w:tcBorders>
              <w:top w:val="nil"/>
              <w:left w:val="nil"/>
              <w:bottom w:val="nil"/>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300"/>
        </w:trPr>
        <w:tc>
          <w:tcPr>
            <w:tcW w:w="844" w:type="dxa"/>
            <w:tcBorders>
              <w:top w:val="single" w:sz="8" w:space="0" w:color="auto"/>
              <w:left w:val="single" w:sz="8" w:space="0" w:color="auto"/>
              <w:bottom w:val="nil"/>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Autres</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single" w:sz="8" w:space="0" w:color="auto"/>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TOTAL</w:t>
            </w:r>
          </w:p>
        </w:tc>
        <w:tc>
          <w:tcPr>
            <w:tcW w:w="999" w:type="dxa"/>
            <w:tcBorders>
              <w:top w:val="single" w:sz="8" w:space="0" w:color="auto"/>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798</w:t>
            </w:r>
          </w:p>
        </w:tc>
        <w:tc>
          <w:tcPr>
            <w:tcW w:w="988" w:type="dxa"/>
            <w:tcBorders>
              <w:top w:val="single" w:sz="8" w:space="0" w:color="auto"/>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100 %</w:t>
            </w:r>
          </w:p>
        </w:tc>
      </w:tr>
      <w:tr w:rsidR="00F8725A">
        <w:trPr>
          <w:trHeight w:val="300"/>
        </w:trPr>
        <w:tc>
          <w:tcPr>
            <w:tcW w:w="844" w:type="dxa"/>
            <w:tcBorders>
              <w:top w:val="single" w:sz="8" w:space="0" w:color="auto"/>
              <w:left w:val="single" w:sz="8" w:space="0" w:color="auto"/>
              <w:bottom w:val="single" w:sz="8" w:space="0" w:color="auto"/>
              <w:right w:val="single" w:sz="8" w:space="0" w:color="auto"/>
            </w:tcBorders>
            <w:shd w:val="clear" w:color="000000" w:fill="666699"/>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TOTAL</w:t>
            </w:r>
          </w:p>
        </w:tc>
        <w:tc>
          <w:tcPr>
            <w:tcW w:w="944"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844</w:t>
            </w:r>
          </w:p>
        </w:tc>
        <w:tc>
          <w:tcPr>
            <w:tcW w:w="1093"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rFonts w:ascii="Calibri" w:hAnsi="Calibri" w:cs="Calibri"/>
                <w:b/>
                <w:bCs/>
                <w:noProof/>
                <w:color w:val="000000"/>
                <w:sz w:val="22"/>
                <w:szCs w:val="22"/>
              </w:rPr>
            </w:pPr>
            <w:r>
              <w:rPr>
                <w:rFonts w:ascii="Calibri" w:hAnsi="Calibri"/>
                <w:b/>
                <w:bCs/>
                <w:noProof/>
                <w:color w:val="000000"/>
                <w:sz w:val="22"/>
                <w:szCs w:val="22"/>
              </w:rPr>
              <w:t>100,00 %</w:t>
            </w:r>
          </w:p>
        </w:tc>
        <w:tc>
          <w:tcPr>
            <w:tcW w:w="960"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893"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99"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988" w:type="dxa"/>
            <w:tcBorders>
              <w:top w:val="nil"/>
              <w:left w:val="nil"/>
              <w:bottom w:val="nil"/>
              <w:right w:val="nil"/>
            </w:tcBorders>
            <w:shd w:val="clear" w:color="000000" w:fill="FFFFFF"/>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F8725A">
      <w:pPr>
        <w:rPr>
          <w:noProof/>
          <w:szCs w:val="24"/>
          <w:lang w:val="en-IE"/>
        </w:rPr>
      </w:pPr>
    </w:p>
    <w:p w:rsidR="00F8725A" w:rsidRDefault="00F8725A">
      <w:pPr>
        <w:rPr>
          <w:noProof/>
          <w:lang w:val="en-IE"/>
        </w:rPr>
      </w:pPr>
    </w:p>
    <w:p w:rsidR="00F8725A" w:rsidRDefault="00F8725A">
      <w:pPr>
        <w:rPr>
          <w:noProof/>
          <w:lang w:val="en-IE"/>
        </w:rPr>
        <w:sectPr w:rsidR="00F8725A">
          <w:headerReference w:type="even" r:id="rId37"/>
          <w:headerReference w:type="default" r:id="rId38"/>
          <w:footerReference w:type="even" r:id="rId39"/>
          <w:footerReference w:type="default" r:id="rId40"/>
          <w:headerReference w:type="first" r:id="rId41"/>
          <w:footerReference w:type="first" r:id="rId42"/>
          <w:pgSz w:w="11906" w:h="16838"/>
          <w:pgMar w:top="1020" w:right="1701" w:bottom="1020" w:left="1587" w:header="601" w:footer="1077" w:gutter="0"/>
          <w:cols w:space="720"/>
          <w:titlePg/>
          <w:docGrid w:linePitch="326"/>
        </w:sectPr>
      </w:pPr>
    </w:p>
    <w:p w:rsidR="00F8725A" w:rsidRDefault="00BE7D43">
      <w:pPr>
        <w:rPr>
          <w:b/>
          <w:noProof/>
          <w:szCs w:val="24"/>
        </w:rPr>
      </w:pPr>
      <w:r>
        <w:rPr>
          <w:b/>
          <w:noProof/>
          <w:szCs w:val="24"/>
        </w:rPr>
        <w:t>Annexe 12: groupes de fonctions et grades des agents contractuels</w:t>
      </w:r>
    </w:p>
    <w:tbl>
      <w:tblPr>
        <w:tblW w:w="4863" w:type="pct"/>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280"/>
        <w:gridCol w:w="1046"/>
        <w:gridCol w:w="6482"/>
      </w:tblGrid>
      <w:tr w:rsidR="00F8725A">
        <w:tc>
          <w:tcPr>
            <w:tcW w:w="1291" w:type="dxa"/>
            <w:vAlign w:val="center"/>
            <w:hideMark/>
          </w:tcPr>
          <w:p w:rsidR="00F8725A" w:rsidRDefault="00BE7D43">
            <w:pPr>
              <w:spacing w:before="100" w:after="100"/>
              <w:jc w:val="center"/>
              <w:rPr>
                <w:noProof/>
                <w:color w:val="000000"/>
                <w:szCs w:val="24"/>
              </w:rPr>
            </w:pPr>
            <w:r>
              <w:rPr>
                <w:b/>
                <w:noProof/>
                <w:color w:val="000000"/>
                <w:szCs w:val="24"/>
              </w:rPr>
              <w:t>Groupe de fonctions</w:t>
            </w:r>
          </w:p>
        </w:tc>
        <w:tc>
          <w:tcPr>
            <w:tcW w:w="1058" w:type="dxa"/>
            <w:vAlign w:val="center"/>
            <w:hideMark/>
          </w:tcPr>
          <w:p w:rsidR="00F8725A" w:rsidRDefault="00BE7D43">
            <w:pPr>
              <w:spacing w:before="100" w:after="100"/>
              <w:jc w:val="center"/>
              <w:rPr>
                <w:noProof/>
                <w:color w:val="000000"/>
                <w:szCs w:val="24"/>
              </w:rPr>
            </w:pPr>
            <w:r>
              <w:rPr>
                <w:b/>
                <w:noProof/>
                <w:color w:val="000000"/>
                <w:szCs w:val="24"/>
              </w:rPr>
              <w:t>Grade</w:t>
            </w:r>
          </w:p>
        </w:tc>
        <w:tc>
          <w:tcPr>
            <w:tcW w:w="0" w:type="auto"/>
            <w:vAlign w:val="center"/>
            <w:hideMark/>
          </w:tcPr>
          <w:p w:rsidR="00F8725A" w:rsidRDefault="00BE7D43">
            <w:pPr>
              <w:spacing w:before="100" w:after="100"/>
              <w:jc w:val="center"/>
              <w:rPr>
                <w:noProof/>
                <w:color w:val="000000"/>
                <w:szCs w:val="24"/>
              </w:rPr>
            </w:pPr>
            <w:r>
              <w:rPr>
                <w:b/>
                <w:noProof/>
                <w:color w:val="000000"/>
                <w:szCs w:val="24"/>
              </w:rPr>
              <w:t>Tâches</w:t>
            </w:r>
          </w:p>
        </w:tc>
      </w:tr>
      <w:tr w:rsidR="00F8725A">
        <w:tc>
          <w:tcPr>
            <w:tcW w:w="1291" w:type="dxa"/>
            <w:vAlign w:val="center"/>
            <w:hideMark/>
          </w:tcPr>
          <w:p w:rsidR="00F8725A" w:rsidRDefault="00BE7D43">
            <w:pPr>
              <w:spacing w:before="100" w:after="100"/>
              <w:ind w:left="180"/>
              <w:jc w:val="center"/>
              <w:rPr>
                <w:noProof/>
                <w:color w:val="000000"/>
                <w:szCs w:val="24"/>
              </w:rPr>
            </w:pPr>
            <w:r>
              <w:rPr>
                <w:b/>
                <w:noProof/>
                <w:color w:val="000000"/>
                <w:szCs w:val="24"/>
              </w:rPr>
              <w:t>IV</w:t>
            </w:r>
          </w:p>
        </w:tc>
        <w:tc>
          <w:tcPr>
            <w:tcW w:w="1058" w:type="dxa"/>
            <w:vAlign w:val="center"/>
            <w:hideMark/>
          </w:tcPr>
          <w:p w:rsidR="00F8725A" w:rsidRDefault="00BE7D43">
            <w:pPr>
              <w:spacing w:before="100" w:after="100"/>
              <w:jc w:val="center"/>
              <w:rPr>
                <w:noProof/>
                <w:color w:val="000000"/>
                <w:szCs w:val="24"/>
              </w:rPr>
            </w:pPr>
            <w:r>
              <w:rPr>
                <w:noProof/>
                <w:color w:val="000000"/>
                <w:szCs w:val="24"/>
              </w:rPr>
              <w:t>13 à 18</w:t>
            </w:r>
          </w:p>
        </w:tc>
        <w:tc>
          <w:tcPr>
            <w:tcW w:w="6650" w:type="dxa"/>
            <w:vAlign w:val="center"/>
            <w:hideMark/>
          </w:tcPr>
          <w:p w:rsidR="00F8725A" w:rsidRDefault="00BE7D43">
            <w:pPr>
              <w:spacing w:before="100" w:after="100"/>
              <w:rPr>
                <w:noProof/>
                <w:color w:val="000000"/>
                <w:szCs w:val="24"/>
              </w:rPr>
            </w:pPr>
            <w:r>
              <w:rPr>
                <w:noProof/>
                <w:color w:val="000000"/>
                <w:szCs w:val="24"/>
              </w:rPr>
              <w:t>Tâches administratives, de conseil, linguistiques et tâches techniques équivalentes, exécutées sous la supervision de fonctionnaires ou d’agents temporaires.</w:t>
            </w:r>
          </w:p>
        </w:tc>
      </w:tr>
      <w:tr w:rsidR="00F8725A">
        <w:tc>
          <w:tcPr>
            <w:tcW w:w="1291" w:type="dxa"/>
            <w:vAlign w:val="center"/>
            <w:hideMark/>
          </w:tcPr>
          <w:p w:rsidR="00F8725A" w:rsidRDefault="00BE7D43">
            <w:pPr>
              <w:spacing w:before="100" w:after="100"/>
              <w:ind w:left="180"/>
              <w:jc w:val="center"/>
              <w:rPr>
                <w:noProof/>
                <w:color w:val="000000"/>
                <w:szCs w:val="24"/>
              </w:rPr>
            </w:pPr>
            <w:r>
              <w:rPr>
                <w:b/>
                <w:noProof/>
                <w:color w:val="000000"/>
                <w:szCs w:val="24"/>
              </w:rPr>
              <w:t>III</w:t>
            </w:r>
          </w:p>
        </w:tc>
        <w:tc>
          <w:tcPr>
            <w:tcW w:w="1058" w:type="dxa"/>
            <w:vAlign w:val="center"/>
            <w:hideMark/>
          </w:tcPr>
          <w:p w:rsidR="00F8725A" w:rsidRDefault="00BE7D43">
            <w:pPr>
              <w:spacing w:before="100" w:after="100"/>
              <w:jc w:val="center"/>
              <w:rPr>
                <w:noProof/>
                <w:color w:val="000000"/>
                <w:szCs w:val="24"/>
              </w:rPr>
            </w:pPr>
            <w:r>
              <w:rPr>
                <w:noProof/>
                <w:color w:val="000000"/>
                <w:szCs w:val="24"/>
              </w:rPr>
              <w:t>8 à 12</w:t>
            </w:r>
          </w:p>
        </w:tc>
        <w:tc>
          <w:tcPr>
            <w:tcW w:w="6650" w:type="dxa"/>
            <w:vAlign w:val="center"/>
            <w:hideMark/>
          </w:tcPr>
          <w:p w:rsidR="00F8725A" w:rsidRDefault="00BE7D43">
            <w:pPr>
              <w:spacing w:before="100" w:after="100"/>
              <w:rPr>
                <w:noProof/>
                <w:color w:val="000000"/>
                <w:szCs w:val="24"/>
              </w:rPr>
            </w:pPr>
            <w:r>
              <w:rPr>
                <w:noProof/>
                <w:color w:val="000000"/>
                <w:szCs w:val="24"/>
              </w:rPr>
              <w:t>Tâches d’exécution, de rédaction, de comptabilité et autres tâches techniques équivalentes, exécutées sous la supervision de fonctionnaires ou d’agents temporaires.</w:t>
            </w:r>
          </w:p>
        </w:tc>
      </w:tr>
      <w:tr w:rsidR="00F8725A">
        <w:tc>
          <w:tcPr>
            <w:tcW w:w="1291" w:type="dxa"/>
            <w:vAlign w:val="center"/>
            <w:hideMark/>
          </w:tcPr>
          <w:p w:rsidR="00F8725A" w:rsidRDefault="00BE7D43">
            <w:pPr>
              <w:spacing w:before="100" w:after="100"/>
              <w:ind w:left="180"/>
              <w:jc w:val="center"/>
              <w:rPr>
                <w:noProof/>
                <w:color w:val="000000"/>
                <w:szCs w:val="24"/>
              </w:rPr>
            </w:pPr>
            <w:r>
              <w:rPr>
                <w:b/>
                <w:noProof/>
                <w:color w:val="000000"/>
                <w:szCs w:val="24"/>
              </w:rPr>
              <w:t>II</w:t>
            </w:r>
          </w:p>
        </w:tc>
        <w:tc>
          <w:tcPr>
            <w:tcW w:w="1058" w:type="dxa"/>
            <w:vAlign w:val="center"/>
            <w:hideMark/>
          </w:tcPr>
          <w:p w:rsidR="00F8725A" w:rsidRDefault="00BE7D43">
            <w:pPr>
              <w:spacing w:before="100" w:after="100"/>
              <w:jc w:val="center"/>
              <w:rPr>
                <w:noProof/>
                <w:color w:val="000000"/>
                <w:szCs w:val="24"/>
              </w:rPr>
            </w:pPr>
            <w:r>
              <w:rPr>
                <w:noProof/>
                <w:color w:val="000000"/>
                <w:szCs w:val="24"/>
              </w:rPr>
              <w:t>4 à 7</w:t>
            </w:r>
          </w:p>
        </w:tc>
        <w:tc>
          <w:tcPr>
            <w:tcW w:w="6650" w:type="dxa"/>
            <w:vAlign w:val="center"/>
            <w:hideMark/>
          </w:tcPr>
          <w:p w:rsidR="00F8725A" w:rsidRDefault="00BE7D43">
            <w:pPr>
              <w:spacing w:before="100" w:after="100"/>
              <w:rPr>
                <w:noProof/>
                <w:color w:val="000000"/>
                <w:szCs w:val="24"/>
              </w:rPr>
            </w:pPr>
            <w:r>
              <w:rPr>
                <w:noProof/>
                <w:color w:val="000000"/>
                <w:szCs w:val="24"/>
              </w:rPr>
              <w:t>Tâches de bureau et de secrétariat, direction de bureau et autres tâches équivalentes, exécutées sous la supervision de fonctionnaires ou d’agents temporaires.</w:t>
            </w:r>
          </w:p>
        </w:tc>
      </w:tr>
      <w:tr w:rsidR="00F8725A">
        <w:tc>
          <w:tcPr>
            <w:tcW w:w="1291" w:type="dxa"/>
            <w:vAlign w:val="center"/>
            <w:hideMark/>
          </w:tcPr>
          <w:p w:rsidR="00F8725A" w:rsidRDefault="00BE7D43">
            <w:pPr>
              <w:spacing w:before="100" w:after="100"/>
              <w:ind w:left="180"/>
              <w:jc w:val="center"/>
              <w:rPr>
                <w:noProof/>
                <w:color w:val="000000"/>
                <w:szCs w:val="24"/>
              </w:rPr>
            </w:pPr>
            <w:r>
              <w:rPr>
                <w:b/>
                <w:noProof/>
                <w:color w:val="000000"/>
                <w:szCs w:val="24"/>
              </w:rPr>
              <w:t>I</w:t>
            </w:r>
          </w:p>
        </w:tc>
        <w:tc>
          <w:tcPr>
            <w:tcW w:w="1058" w:type="dxa"/>
            <w:vAlign w:val="center"/>
            <w:hideMark/>
          </w:tcPr>
          <w:p w:rsidR="00F8725A" w:rsidRDefault="00BE7D43">
            <w:pPr>
              <w:spacing w:before="100" w:after="100"/>
              <w:jc w:val="center"/>
              <w:rPr>
                <w:noProof/>
                <w:color w:val="000000"/>
                <w:szCs w:val="24"/>
              </w:rPr>
            </w:pPr>
            <w:r>
              <w:rPr>
                <w:noProof/>
                <w:color w:val="000000"/>
                <w:szCs w:val="24"/>
              </w:rPr>
              <w:t>1 à 3</w:t>
            </w:r>
          </w:p>
        </w:tc>
        <w:tc>
          <w:tcPr>
            <w:tcW w:w="6650" w:type="dxa"/>
            <w:vAlign w:val="center"/>
            <w:hideMark/>
          </w:tcPr>
          <w:p w:rsidR="00F8725A" w:rsidRDefault="00BE7D43">
            <w:pPr>
              <w:spacing w:before="100" w:after="100"/>
              <w:rPr>
                <w:noProof/>
                <w:color w:val="000000"/>
                <w:szCs w:val="24"/>
              </w:rPr>
            </w:pPr>
            <w:r>
              <w:rPr>
                <w:noProof/>
                <w:color w:val="000000"/>
                <w:szCs w:val="24"/>
              </w:rPr>
              <w:t>Tâches manuelles et d’appui administratif effectuées sous le contrôle de fonctionnaires ou d’agents temporaires</w:t>
            </w:r>
          </w:p>
        </w:tc>
      </w:tr>
    </w:tbl>
    <w:p w:rsidR="00F8725A" w:rsidRDefault="00F8725A">
      <w:pPr>
        <w:rPr>
          <w:b/>
          <w:noProof/>
          <w:szCs w:val="24"/>
          <w:lang w:val="fr-BE"/>
        </w:rPr>
      </w:pPr>
    </w:p>
    <w:p w:rsidR="00F8725A" w:rsidRDefault="00BE7D43">
      <w:pPr>
        <w:spacing w:after="0"/>
        <w:rPr>
          <w:b/>
          <w:noProof/>
        </w:rPr>
      </w:pPr>
      <w:r>
        <w:rPr>
          <w:b/>
          <w:noProof/>
        </w:rPr>
        <w:t>Annexe 13: grades et profils accessibles aux agents contractuels dans les concours de 2016 et de 2018</w:t>
      </w:r>
    </w:p>
    <w:p w:rsidR="00F8725A" w:rsidRDefault="00F8725A">
      <w:pPr>
        <w:spacing w:after="0"/>
        <w:jc w:val="left"/>
        <w:rPr>
          <w:noProof/>
          <w:lang w:val="fr-BE"/>
        </w:rPr>
      </w:pPr>
    </w:p>
    <w:tbl>
      <w:tblPr>
        <w:tblW w:w="9346" w:type="dxa"/>
        <w:tblInd w:w="118" w:type="dxa"/>
        <w:tblLook w:val="04A0" w:firstRow="1" w:lastRow="0" w:firstColumn="1" w:lastColumn="0" w:noHBand="0" w:noVBand="1"/>
      </w:tblPr>
      <w:tblGrid>
        <w:gridCol w:w="1237"/>
        <w:gridCol w:w="4489"/>
        <w:gridCol w:w="2272"/>
        <w:gridCol w:w="1348"/>
      </w:tblGrid>
      <w:tr w:rsidR="00F8725A">
        <w:trPr>
          <w:trHeight w:val="590"/>
        </w:trPr>
        <w:tc>
          <w:tcPr>
            <w:tcW w:w="9346" w:type="dxa"/>
            <w:gridSpan w:val="4"/>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F8725A" w:rsidRDefault="00BE7D43">
            <w:pPr>
              <w:spacing w:after="0"/>
              <w:jc w:val="center"/>
              <w:rPr>
                <w:b/>
                <w:bCs/>
                <w:noProof/>
                <w:color w:val="000000"/>
                <w:szCs w:val="24"/>
              </w:rPr>
            </w:pPr>
            <w:r>
              <w:rPr>
                <w:b/>
                <w:bCs/>
                <w:noProof/>
                <w:color w:val="000000"/>
                <w:szCs w:val="24"/>
              </w:rPr>
              <w:t>2016</w:t>
            </w:r>
          </w:p>
        </w:tc>
      </w:tr>
      <w:tr w:rsidR="00F8725A">
        <w:trPr>
          <w:trHeight w:val="590"/>
        </w:trPr>
        <w:tc>
          <w:tcPr>
            <w:tcW w:w="11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725A" w:rsidRDefault="00BE7D43">
            <w:pPr>
              <w:spacing w:after="0"/>
              <w:jc w:val="center"/>
              <w:rPr>
                <w:b/>
                <w:bCs/>
                <w:noProof/>
                <w:color w:val="000000"/>
                <w:szCs w:val="24"/>
              </w:rPr>
            </w:pPr>
            <w:r>
              <w:rPr>
                <w:b/>
                <w:bCs/>
                <w:noProof/>
                <w:color w:val="000000"/>
                <w:szCs w:val="24"/>
              </w:rPr>
              <w:t>Grade</w:t>
            </w:r>
          </w:p>
        </w:tc>
        <w:tc>
          <w:tcPr>
            <w:tcW w:w="4489" w:type="dxa"/>
            <w:tcBorders>
              <w:top w:val="single" w:sz="8" w:space="0" w:color="auto"/>
              <w:left w:val="nil"/>
              <w:bottom w:val="single" w:sz="8" w:space="0" w:color="auto"/>
              <w:right w:val="single" w:sz="4" w:space="0" w:color="auto"/>
            </w:tcBorders>
            <w:shd w:val="clear" w:color="auto" w:fill="auto"/>
            <w:vAlign w:val="center"/>
            <w:hideMark/>
          </w:tcPr>
          <w:p w:rsidR="00F8725A" w:rsidRDefault="00BE7D43">
            <w:pPr>
              <w:spacing w:after="0"/>
              <w:jc w:val="center"/>
              <w:rPr>
                <w:b/>
                <w:bCs/>
                <w:noProof/>
                <w:color w:val="000000"/>
                <w:szCs w:val="24"/>
              </w:rPr>
            </w:pPr>
            <w:r>
              <w:rPr>
                <w:b/>
                <w:bCs/>
                <w:noProof/>
                <w:color w:val="000000"/>
                <w:szCs w:val="24"/>
              </w:rPr>
              <w:t>Domaine</w:t>
            </w:r>
          </w:p>
        </w:tc>
        <w:tc>
          <w:tcPr>
            <w:tcW w:w="2272" w:type="dxa"/>
            <w:tcBorders>
              <w:top w:val="single" w:sz="8" w:space="0" w:color="auto"/>
              <w:left w:val="nil"/>
              <w:bottom w:val="single" w:sz="8" w:space="0" w:color="auto"/>
              <w:right w:val="single" w:sz="8" w:space="0" w:color="auto"/>
            </w:tcBorders>
            <w:shd w:val="clear" w:color="auto" w:fill="auto"/>
            <w:vAlign w:val="center"/>
            <w:hideMark/>
          </w:tcPr>
          <w:p w:rsidR="00F8725A" w:rsidRDefault="00BE7D43">
            <w:pPr>
              <w:spacing w:after="0"/>
              <w:jc w:val="center"/>
              <w:rPr>
                <w:b/>
                <w:bCs/>
                <w:noProof/>
                <w:color w:val="000000"/>
                <w:szCs w:val="24"/>
              </w:rPr>
            </w:pPr>
            <w:r>
              <w:rPr>
                <w:b/>
                <w:bCs/>
                <w:noProof/>
                <w:color w:val="000000"/>
                <w:szCs w:val="24"/>
              </w:rPr>
              <w:t>Agents contractuels – lauréats</w:t>
            </w:r>
          </w:p>
        </w:tc>
        <w:tc>
          <w:tcPr>
            <w:tcW w:w="1408" w:type="dxa"/>
            <w:tcBorders>
              <w:top w:val="single" w:sz="8" w:space="0" w:color="auto"/>
              <w:left w:val="nil"/>
              <w:bottom w:val="single" w:sz="8" w:space="0" w:color="auto"/>
              <w:right w:val="single" w:sz="8" w:space="0" w:color="auto"/>
            </w:tcBorders>
          </w:tcPr>
          <w:p w:rsidR="00F8725A" w:rsidRDefault="00BE7D43">
            <w:pPr>
              <w:spacing w:after="0"/>
              <w:jc w:val="center"/>
              <w:rPr>
                <w:b/>
                <w:bCs/>
                <w:noProof/>
                <w:color w:val="000000"/>
                <w:szCs w:val="24"/>
              </w:rPr>
            </w:pPr>
            <w:r>
              <w:rPr>
                <w:b/>
                <w:bCs/>
                <w:noProof/>
                <w:color w:val="000000"/>
                <w:szCs w:val="24"/>
              </w:rPr>
              <w:t>Total de lauréats</w:t>
            </w:r>
          </w:p>
        </w:tc>
      </w:tr>
      <w:tr w:rsidR="00F8725A">
        <w:trPr>
          <w:trHeight w:val="300"/>
        </w:trPr>
        <w:tc>
          <w:tcPr>
            <w:tcW w:w="1177" w:type="dxa"/>
            <w:tcBorders>
              <w:top w:val="nil"/>
              <w:left w:val="single" w:sz="8" w:space="0" w:color="auto"/>
              <w:bottom w:val="single" w:sz="8" w:space="0" w:color="auto"/>
              <w:right w:val="single" w:sz="8" w:space="0" w:color="auto"/>
            </w:tcBorders>
            <w:shd w:val="clear" w:color="auto" w:fill="auto"/>
            <w:noWrap/>
            <w:vAlign w:val="center"/>
          </w:tcPr>
          <w:p w:rsidR="00F8725A" w:rsidRDefault="00BE7D43">
            <w:pPr>
              <w:spacing w:after="0"/>
              <w:jc w:val="center"/>
              <w:rPr>
                <w:b/>
                <w:bCs/>
                <w:noProof/>
                <w:color w:val="000000"/>
                <w:szCs w:val="24"/>
              </w:rPr>
            </w:pPr>
            <w:r>
              <w:rPr>
                <w:b/>
                <w:bCs/>
                <w:noProof/>
                <w:color w:val="000000"/>
                <w:szCs w:val="24"/>
              </w:rPr>
              <w:t>AD 6</w:t>
            </w:r>
          </w:p>
        </w:tc>
        <w:tc>
          <w:tcPr>
            <w:tcW w:w="4489" w:type="dxa"/>
            <w:tcBorders>
              <w:top w:val="single" w:sz="8" w:space="0" w:color="auto"/>
              <w:left w:val="nil"/>
              <w:bottom w:val="single" w:sz="8" w:space="0" w:color="auto"/>
              <w:right w:val="single" w:sz="4" w:space="0" w:color="auto"/>
            </w:tcBorders>
            <w:shd w:val="clear" w:color="auto" w:fill="auto"/>
            <w:noWrap/>
            <w:vAlign w:val="bottom"/>
          </w:tcPr>
          <w:p w:rsidR="00F8725A" w:rsidRDefault="00BE7D43">
            <w:pPr>
              <w:spacing w:after="0"/>
              <w:jc w:val="center"/>
              <w:rPr>
                <w:noProof/>
                <w:color w:val="000000"/>
                <w:szCs w:val="24"/>
              </w:rPr>
            </w:pPr>
            <w:r>
              <w:rPr>
                <w:noProof/>
                <w:color w:val="000000"/>
                <w:szCs w:val="24"/>
              </w:rPr>
              <w:t>Administration publique européenne</w:t>
            </w:r>
          </w:p>
        </w:tc>
        <w:tc>
          <w:tcPr>
            <w:tcW w:w="2272" w:type="dxa"/>
            <w:tcBorders>
              <w:top w:val="nil"/>
              <w:left w:val="nil"/>
              <w:bottom w:val="single" w:sz="8" w:space="0" w:color="auto"/>
              <w:right w:val="single" w:sz="8" w:space="0" w:color="auto"/>
            </w:tcBorders>
            <w:shd w:val="clear" w:color="auto" w:fill="auto"/>
            <w:noWrap/>
            <w:vAlign w:val="center"/>
          </w:tcPr>
          <w:p w:rsidR="00F8725A" w:rsidRDefault="00BE7D43">
            <w:pPr>
              <w:spacing w:after="0"/>
              <w:jc w:val="center"/>
              <w:rPr>
                <w:noProof/>
                <w:color w:val="000000"/>
                <w:szCs w:val="24"/>
              </w:rPr>
            </w:pPr>
            <w:r>
              <w:rPr>
                <w:noProof/>
                <w:color w:val="000000"/>
                <w:szCs w:val="24"/>
              </w:rPr>
              <w:t>28</w:t>
            </w:r>
          </w:p>
        </w:tc>
        <w:tc>
          <w:tcPr>
            <w:tcW w:w="1408" w:type="dxa"/>
            <w:tcBorders>
              <w:top w:val="nil"/>
              <w:left w:val="nil"/>
              <w:bottom w:val="single" w:sz="8" w:space="0" w:color="auto"/>
              <w:right w:val="single" w:sz="8" w:space="0" w:color="auto"/>
            </w:tcBorders>
          </w:tcPr>
          <w:p w:rsidR="00F8725A" w:rsidRDefault="00BE7D43">
            <w:pPr>
              <w:spacing w:after="0"/>
              <w:jc w:val="center"/>
              <w:rPr>
                <w:noProof/>
                <w:color w:val="000000"/>
                <w:szCs w:val="24"/>
              </w:rPr>
            </w:pPr>
            <w:r>
              <w:rPr>
                <w:noProof/>
                <w:color w:val="000000"/>
                <w:szCs w:val="24"/>
              </w:rPr>
              <w:t>35</w:t>
            </w:r>
          </w:p>
        </w:tc>
      </w:tr>
      <w:tr w:rsidR="00F8725A">
        <w:trPr>
          <w:trHeight w:val="300"/>
        </w:trPr>
        <w:tc>
          <w:tcPr>
            <w:tcW w:w="1177" w:type="dxa"/>
            <w:tcBorders>
              <w:top w:val="nil"/>
              <w:left w:val="single" w:sz="8" w:space="0" w:color="auto"/>
              <w:bottom w:val="single" w:sz="8" w:space="0" w:color="auto"/>
              <w:right w:val="single" w:sz="8" w:space="0" w:color="auto"/>
            </w:tcBorders>
            <w:shd w:val="clear" w:color="auto" w:fill="auto"/>
            <w:noWrap/>
            <w:vAlign w:val="center"/>
            <w:hideMark/>
          </w:tcPr>
          <w:p w:rsidR="00F8725A" w:rsidRDefault="00BE7D43">
            <w:pPr>
              <w:spacing w:after="0"/>
              <w:jc w:val="center"/>
              <w:rPr>
                <w:b/>
                <w:bCs/>
                <w:noProof/>
                <w:color w:val="000000"/>
                <w:szCs w:val="24"/>
              </w:rPr>
            </w:pPr>
            <w:r>
              <w:rPr>
                <w:b/>
                <w:bCs/>
                <w:noProof/>
                <w:color w:val="000000"/>
                <w:szCs w:val="24"/>
              </w:rPr>
              <w:t xml:space="preserve">AST 2 </w:t>
            </w:r>
          </w:p>
        </w:tc>
        <w:tc>
          <w:tcPr>
            <w:tcW w:w="4489" w:type="dxa"/>
            <w:tcBorders>
              <w:top w:val="single" w:sz="8" w:space="0" w:color="auto"/>
              <w:left w:val="nil"/>
              <w:bottom w:val="single" w:sz="8"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Assistance administrative et technique</w:t>
            </w:r>
          </w:p>
        </w:tc>
        <w:tc>
          <w:tcPr>
            <w:tcW w:w="2272"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noProof/>
                <w:color w:val="000000"/>
                <w:szCs w:val="24"/>
              </w:rPr>
            </w:pPr>
            <w:r>
              <w:rPr>
                <w:noProof/>
                <w:color w:val="000000"/>
                <w:szCs w:val="24"/>
              </w:rPr>
              <w:t>19</w:t>
            </w:r>
          </w:p>
        </w:tc>
        <w:tc>
          <w:tcPr>
            <w:tcW w:w="1408" w:type="dxa"/>
            <w:tcBorders>
              <w:top w:val="nil"/>
              <w:left w:val="nil"/>
              <w:bottom w:val="single" w:sz="8" w:space="0" w:color="auto"/>
              <w:right w:val="single" w:sz="8" w:space="0" w:color="auto"/>
            </w:tcBorders>
          </w:tcPr>
          <w:p w:rsidR="00F8725A" w:rsidRDefault="00BE7D43">
            <w:pPr>
              <w:spacing w:after="0"/>
              <w:jc w:val="center"/>
              <w:rPr>
                <w:noProof/>
                <w:color w:val="000000"/>
                <w:szCs w:val="24"/>
              </w:rPr>
            </w:pPr>
            <w:r>
              <w:rPr>
                <w:noProof/>
                <w:color w:val="000000"/>
                <w:szCs w:val="24"/>
              </w:rPr>
              <w:t>20</w:t>
            </w:r>
          </w:p>
        </w:tc>
      </w:tr>
      <w:tr w:rsidR="00F8725A">
        <w:trPr>
          <w:trHeight w:val="300"/>
        </w:trPr>
        <w:tc>
          <w:tcPr>
            <w:tcW w:w="1177" w:type="dxa"/>
            <w:tcBorders>
              <w:top w:val="nil"/>
              <w:left w:val="single" w:sz="8" w:space="0" w:color="auto"/>
              <w:bottom w:val="single" w:sz="8" w:space="0" w:color="auto"/>
              <w:right w:val="single" w:sz="8" w:space="0" w:color="auto"/>
            </w:tcBorders>
            <w:shd w:val="clear" w:color="auto" w:fill="auto"/>
            <w:noWrap/>
            <w:vAlign w:val="center"/>
            <w:hideMark/>
          </w:tcPr>
          <w:p w:rsidR="00F8725A" w:rsidRDefault="00BE7D43">
            <w:pPr>
              <w:spacing w:after="0"/>
              <w:jc w:val="center"/>
              <w:rPr>
                <w:b/>
                <w:bCs/>
                <w:noProof/>
                <w:color w:val="000000"/>
                <w:szCs w:val="24"/>
              </w:rPr>
            </w:pPr>
            <w:r>
              <w:rPr>
                <w:b/>
                <w:bCs/>
                <w:noProof/>
                <w:color w:val="000000"/>
                <w:szCs w:val="24"/>
              </w:rPr>
              <w:t xml:space="preserve">AST/SC 2 </w:t>
            </w:r>
          </w:p>
        </w:tc>
        <w:tc>
          <w:tcPr>
            <w:tcW w:w="4489" w:type="dxa"/>
            <w:tcBorders>
              <w:top w:val="nil"/>
              <w:left w:val="nil"/>
              <w:bottom w:val="single" w:sz="8"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Appui administratif</w:t>
            </w:r>
          </w:p>
        </w:tc>
        <w:tc>
          <w:tcPr>
            <w:tcW w:w="2272"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noProof/>
                <w:color w:val="000000"/>
                <w:szCs w:val="24"/>
              </w:rPr>
            </w:pPr>
            <w:r>
              <w:rPr>
                <w:noProof/>
                <w:color w:val="000000"/>
                <w:szCs w:val="24"/>
              </w:rPr>
              <w:t>32</w:t>
            </w:r>
          </w:p>
        </w:tc>
        <w:tc>
          <w:tcPr>
            <w:tcW w:w="1408" w:type="dxa"/>
            <w:tcBorders>
              <w:top w:val="nil"/>
              <w:left w:val="nil"/>
              <w:bottom w:val="single" w:sz="8" w:space="0" w:color="auto"/>
              <w:right w:val="single" w:sz="8" w:space="0" w:color="auto"/>
            </w:tcBorders>
          </w:tcPr>
          <w:p w:rsidR="00F8725A" w:rsidRDefault="00BE7D43">
            <w:pPr>
              <w:spacing w:after="0"/>
              <w:jc w:val="center"/>
              <w:rPr>
                <w:noProof/>
                <w:color w:val="000000"/>
                <w:szCs w:val="24"/>
              </w:rPr>
            </w:pPr>
            <w:r>
              <w:rPr>
                <w:noProof/>
                <w:color w:val="000000"/>
                <w:szCs w:val="24"/>
              </w:rPr>
              <w:t>38</w:t>
            </w:r>
          </w:p>
        </w:tc>
      </w:tr>
    </w:tbl>
    <w:p w:rsidR="00F8725A" w:rsidRDefault="00F8725A">
      <w:pPr>
        <w:spacing w:after="0"/>
        <w:jc w:val="left"/>
        <w:rPr>
          <w:noProof/>
          <w:lang w:val="en-IE"/>
        </w:rPr>
      </w:pPr>
    </w:p>
    <w:p w:rsidR="00F8725A" w:rsidRDefault="00F8725A">
      <w:pPr>
        <w:spacing w:after="0"/>
        <w:jc w:val="left"/>
        <w:rPr>
          <w:noProof/>
          <w:lang w:val="en-IE"/>
        </w:rPr>
      </w:pPr>
    </w:p>
    <w:tbl>
      <w:tblPr>
        <w:tblW w:w="9346" w:type="dxa"/>
        <w:tblInd w:w="118" w:type="dxa"/>
        <w:tblLook w:val="04A0" w:firstRow="1" w:lastRow="0" w:firstColumn="1" w:lastColumn="0" w:noHBand="0" w:noVBand="1"/>
      </w:tblPr>
      <w:tblGrid>
        <w:gridCol w:w="1237"/>
        <w:gridCol w:w="4489"/>
        <w:gridCol w:w="2272"/>
        <w:gridCol w:w="1348"/>
      </w:tblGrid>
      <w:tr w:rsidR="00F8725A">
        <w:trPr>
          <w:trHeight w:val="590"/>
        </w:trPr>
        <w:tc>
          <w:tcPr>
            <w:tcW w:w="9346" w:type="dxa"/>
            <w:gridSpan w:val="4"/>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F8725A" w:rsidRDefault="00BE7D43">
            <w:pPr>
              <w:spacing w:after="0"/>
              <w:jc w:val="center"/>
              <w:rPr>
                <w:b/>
                <w:bCs/>
                <w:noProof/>
                <w:color w:val="000000"/>
                <w:szCs w:val="24"/>
              </w:rPr>
            </w:pPr>
            <w:r>
              <w:rPr>
                <w:b/>
                <w:bCs/>
                <w:noProof/>
                <w:color w:val="000000"/>
                <w:szCs w:val="24"/>
              </w:rPr>
              <w:t>2018</w:t>
            </w:r>
          </w:p>
        </w:tc>
      </w:tr>
      <w:tr w:rsidR="00F8725A">
        <w:trPr>
          <w:trHeight w:val="590"/>
        </w:trPr>
        <w:tc>
          <w:tcPr>
            <w:tcW w:w="11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725A" w:rsidRDefault="00BE7D43">
            <w:pPr>
              <w:spacing w:after="0"/>
              <w:jc w:val="center"/>
              <w:rPr>
                <w:b/>
                <w:bCs/>
                <w:noProof/>
                <w:color w:val="000000"/>
                <w:szCs w:val="24"/>
              </w:rPr>
            </w:pPr>
            <w:r>
              <w:rPr>
                <w:b/>
                <w:bCs/>
                <w:noProof/>
                <w:color w:val="000000"/>
                <w:szCs w:val="24"/>
              </w:rPr>
              <w:t>Grade</w:t>
            </w:r>
          </w:p>
        </w:tc>
        <w:tc>
          <w:tcPr>
            <w:tcW w:w="4489" w:type="dxa"/>
            <w:tcBorders>
              <w:top w:val="single" w:sz="8" w:space="0" w:color="auto"/>
              <w:left w:val="nil"/>
              <w:bottom w:val="single" w:sz="8" w:space="0" w:color="auto"/>
              <w:right w:val="single" w:sz="4" w:space="0" w:color="auto"/>
            </w:tcBorders>
            <w:shd w:val="clear" w:color="auto" w:fill="auto"/>
            <w:vAlign w:val="center"/>
            <w:hideMark/>
          </w:tcPr>
          <w:p w:rsidR="00F8725A" w:rsidRDefault="00BE7D43">
            <w:pPr>
              <w:spacing w:after="0"/>
              <w:jc w:val="center"/>
              <w:rPr>
                <w:b/>
                <w:bCs/>
                <w:noProof/>
                <w:color w:val="000000"/>
                <w:szCs w:val="24"/>
              </w:rPr>
            </w:pPr>
            <w:r>
              <w:rPr>
                <w:b/>
                <w:bCs/>
                <w:noProof/>
                <w:color w:val="000000"/>
                <w:szCs w:val="24"/>
              </w:rPr>
              <w:t>Domaine</w:t>
            </w:r>
          </w:p>
        </w:tc>
        <w:tc>
          <w:tcPr>
            <w:tcW w:w="2272" w:type="dxa"/>
            <w:tcBorders>
              <w:top w:val="single" w:sz="8" w:space="0" w:color="auto"/>
              <w:left w:val="nil"/>
              <w:bottom w:val="single" w:sz="8" w:space="0" w:color="auto"/>
              <w:right w:val="single" w:sz="8" w:space="0" w:color="auto"/>
            </w:tcBorders>
            <w:shd w:val="clear" w:color="auto" w:fill="auto"/>
            <w:vAlign w:val="center"/>
            <w:hideMark/>
          </w:tcPr>
          <w:p w:rsidR="00F8725A" w:rsidRDefault="00BE7D43">
            <w:pPr>
              <w:spacing w:after="0"/>
              <w:jc w:val="center"/>
              <w:rPr>
                <w:b/>
                <w:bCs/>
                <w:noProof/>
                <w:color w:val="000000"/>
                <w:szCs w:val="24"/>
              </w:rPr>
            </w:pPr>
            <w:r>
              <w:rPr>
                <w:b/>
                <w:bCs/>
                <w:noProof/>
                <w:color w:val="000000"/>
                <w:szCs w:val="24"/>
              </w:rPr>
              <w:t>Agents contractuels – lauréats</w:t>
            </w:r>
          </w:p>
        </w:tc>
        <w:tc>
          <w:tcPr>
            <w:tcW w:w="1408" w:type="dxa"/>
            <w:tcBorders>
              <w:top w:val="single" w:sz="8" w:space="0" w:color="auto"/>
              <w:left w:val="nil"/>
              <w:bottom w:val="single" w:sz="8" w:space="0" w:color="auto"/>
              <w:right w:val="single" w:sz="8" w:space="0" w:color="auto"/>
            </w:tcBorders>
          </w:tcPr>
          <w:p w:rsidR="00F8725A" w:rsidRDefault="00BE7D43">
            <w:pPr>
              <w:spacing w:after="0"/>
              <w:jc w:val="center"/>
              <w:rPr>
                <w:b/>
                <w:bCs/>
                <w:noProof/>
                <w:color w:val="000000"/>
                <w:szCs w:val="24"/>
              </w:rPr>
            </w:pPr>
            <w:r>
              <w:rPr>
                <w:b/>
                <w:bCs/>
                <w:noProof/>
                <w:color w:val="000000"/>
                <w:szCs w:val="24"/>
              </w:rPr>
              <w:t>Total de lauréats</w:t>
            </w:r>
          </w:p>
        </w:tc>
      </w:tr>
      <w:tr w:rsidR="00F8725A">
        <w:trPr>
          <w:trHeight w:val="290"/>
        </w:trPr>
        <w:tc>
          <w:tcPr>
            <w:tcW w:w="11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8725A" w:rsidRDefault="00BE7D43">
            <w:pPr>
              <w:spacing w:after="0"/>
              <w:jc w:val="center"/>
              <w:rPr>
                <w:b/>
                <w:bCs/>
                <w:noProof/>
                <w:color w:val="000000"/>
                <w:szCs w:val="24"/>
              </w:rPr>
            </w:pPr>
            <w:r>
              <w:rPr>
                <w:b/>
                <w:bCs/>
                <w:noProof/>
                <w:color w:val="000000"/>
                <w:szCs w:val="24"/>
              </w:rPr>
              <w:t xml:space="preserve">AD 6 </w:t>
            </w:r>
          </w:p>
        </w:tc>
        <w:tc>
          <w:tcPr>
            <w:tcW w:w="4489" w:type="dxa"/>
            <w:tcBorders>
              <w:top w:val="single" w:sz="8" w:space="0" w:color="auto"/>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Administration publique européenne</w:t>
            </w:r>
          </w:p>
        </w:tc>
        <w:tc>
          <w:tcPr>
            <w:tcW w:w="2272" w:type="dxa"/>
            <w:tcBorders>
              <w:top w:val="nil"/>
              <w:left w:val="nil"/>
              <w:bottom w:val="single" w:sz="4" w:space="0" w:color="auto"/>
              <w:right w:val="single" w:sz="8" w:space="0" w:color="auto"/>
            </w:tcBorders>
            <w:shd w:val="clear" w:color="auto" w:fill="auto"/>
            <w:noWrap/>
            <w:vAlign w:val="center"/>
            <w:hideMark/>
          </w:tcPr>
          <w:p w:rsidR="00F8725A" w:rsidRDefault="00BE7D43">
            <w:pPr>
              <w:spacing w:after="0"/>
              <w:jc w:val="center"/>
              <w:rPr>
                <w:noProof/>
                <w:color w:val="000000"/>
                <w:szCs w:val="24"/>
              </w:rPr>
            </w:pPr>
            <w:r>
              <w:rPr>
                <w:noProof/>
                <w:color w:val="000000"/>
                <w:szCs w:val="24"/>
              </w:rPr>
              <w:t>14</w:t>
            </w:r>
          </w:p>
        </w:tc>
        <w:tc>
          <w:tcPr>
            <w:tcW w:w="1408" w:type="dxa"/>
            <w:tcBorders>
              <w:top w:val="nil"/>
              <w:left w:val="nil"/>
              <w:bottom w:val="single" w:sz="4" w:space="0" w:color="auto"/>
              <w:right w:val="single" w:sz="8" w:space="0" w:color="auto"/>
            </w:tcBorders>
          </w:tcPr>
          <w:p w:rsidR="00F8725A" w:rsidRDefault="00BE7D43">
            <w:pPr>
              <w:spacing w:after="0"/>
              <w:jc w:val="center"/>
              <w:rPr>
                <w:noProof/>
                <w:color w:val="000000"/>
                <w:szCs w:val="24"/>
              </w:rPr>
            </w:pPr>
            <w:r>
              <w:rPr>
                <w:noProof/>
                <w:color w:val="000000"/>
                <w:szCs w:val="24"/>
              </w:rPr>
              <w:t>34</w:t>
            </w:r>
          </w:p>
        </w:tc>
      </w:tr>
      <w:tr w:rsidR="00F8725A">
        <w:trPr>
          <w:trHeight w:val="290"/>
        </w:trPr>
        <w:tc>
          <w:tcPr>
            <w:tcW w:w="1177" w:type="dxa"/>
            <w:vMerge/>
            <w:tcBorders>
              <w:top w:val="nil"/>
              <w:left w:val="single" w:sz="8" w:space="0" w:color="auto"/>
              <w:bottom w:val="single" w:sz="8" w:space="0" w:color="000000"/>
              <w:right w:val="single" w:sz="8" w:space="0" w:color="auto"/>
            </w:tcBorders>
            <w:shd w:val="clear" w:color="auto" w:fill="auto"/>
            <w:vAlign w:val="center"/>
            <w:hideMark/>
          </w:tcPr>
          <w:p w:rsidR="00F8725A" w:rsidRDefault="00F8725A">
            <w:pPr>
              <w:spacing w:after="0"/>
              <w:jc w:val="left"/>
              <w:rPr>
                <w:b/>
                <w:bCs/>
                <w:noProof/>
                <w:color w:val="000000"/>
                <w:szCs w:val="24"/>
                <w:lang w:val="en-IE" w:eastAsia="en-IE"/>
              </w:rPr>
            </w:pPr>
          </w:p>
        </w:tc>
        <w:tc>
          <w:tcPr>
            <w:tcW w:w="4489" w:type="dxa"/>
            <w:tcBorders>
              <w:top w:val="single" w:sz="4" w:space="0" w:color="auto"/>
              <w:left w:val="nil"/>
              <w:bottom w:val="single" w:sz="4"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Développement et coopération</w:t>
            </w:r>
          </w:p>
        </w:tc>
        <w:tc>
          <w:tcPr>
            <w:tcW w:w="2272" w:type="dxa"/>
            <w:tcBorders>
              <w:top w:val="nil"/>
              <w:left w:val="nil"/>
              <w:bottom w:val="single" w:sz="4" w:space="0" w:color="auto"/>
              <w:right w:val="single" w:sz="8" w:space="0" w:color="auto"/>
            </w:tcBorders>
            <w:shd w:val="clear" w:color="auto" w:fill="auto"/>
            <w:noWrap/>
            <w:vAlign w:val="center"/>
            <w:hideMark/>
          </w:tcPr>
          <w:p w:rsidR="00F8725A" w:rsidRDefault="00BE7D43">
            <w:pPr>
              <w:spacing w:after="0"/>
              <w:jc w:val="center"/>
              <w:rPr>
                <w:noProof/>
                <w:color w:val="000000"/>
                <w:szCs w:val="24"/>
              </w:rPr>
            </w:pPr>
            <w:r>
              <w:rPr>
                <w:noProof/>
                <w:color w:val="000000"/>
                <w:szCs w:val="24"/>
              </w:rPr>
              <w:t>16</w:t>
            </w:r>
          </w:p>
        </w:tc>
        <w:tc>
          <w:tcPr>
            <w:tcW w:w="1408" w:type="dxa"/>
            <w:tcBorders>
              <w:top w:val="nil"/>
              <w:left w:val="nil"/>
              <w:bottom w:val="single" w:sz="4" w:space="0" w:color="auto"/>
              <w:right w:val="single" w:sz="8" w:space="0" w:color="auto"/>
            </w:tcBorders>
          </w:tcPr>
          <w:p w:rsidR="00F8725A" w:rsidRDefault="00BE7D43">
            <w:pPr>
              <w:spacing w:after="0"/>
              <w:jc w:val="center"/>
              <w:rPr>
                <w:noProof/>
                <w:color w:val="000000"/>
                <w:szCs w:val="24"/>
              </w:rPr>
            </w:pPr>
            <w:r>
              <w:rPr>
                <w:noProof/>
                <w:color w:val="000000"/>
                <w:szCs w:val="24"/>
              </w:rPr>
              <w:t>23</w:t>
            </w:r>
          </w:p>
        </w:tc>
      </w:tr>
      <w:tr w:rsidR="00F8725A">
        <w:trPr>
          <w:trHeight w:val="300"/>
        </w:trPr>
        <w:tc>
          <w:tcPr>
            <w:tcW w:w="1177" w:type="dxa"/>
            <w:vMerge/>
            <w:tcBorders>
              <w:top w:val="nil"/>
              <w:left w:val="single" w:sz="8" w:space="0" w:color="auto"/>
              <w:bottom w:val="single" w:sz="8" w:space="0" w:color="000000"/>
              <w:right w:val="single" w:sz="8" w:space="0" w:color="auto"/>
            </w:tcBorders>
            <w:shd w:val="clear" w:color="auto" w:fill="auto"/>
            <w:vAlign w:val="center"/>
            <w:hideMark/>
          </w:tcPr>
          <w:p w:rsidR="00F8725A" w:rsidRDefault="00F8725A">
            <w:pPr>
              <w:spacing w:after="0"/>
              <w:jc w:val="left"/>
              <w:rPr>
                <w:b/>
                <w:bCs/>
                <w:noProof/>
                <w:color w:val="000000"/>
                <w:szCs w:val="24"/>
                <w:lang w:val="en-IE" w:eastAsia="en-IE"/>
              </w:rPr>
            </w:pPr>
          </w:p>
        </w:tc>
        <w:tc>
          <w:tcPr>
            <w:tcW w:w="4489" w:type="dxa"/>
            <w:tcBorders>
              <w:top w:val="single" w:sz="4" w:space="0" w:color="auto"/>
              <w:left w:val="nil"/>
              <w:bottom w:val="single" w:sz="8"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Recherche</w:t>
            </w:r>
          </w:p>
        </w:tc>
        <w:tc>
          <w:tcPr>
            <w:tcW w:w="2272"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noProof/>
                <w:color w:val="000000"/>
                <w:szCs w:val="24"/>
              </w:rPr>
            </w:pPr>
            <w:r>
              <w:rPr>
                <w:noProof/>
                <w:color w:val="000000"/>
                <w:szCs w:val="24"/>
              </w:rPr>
              <w:t>14</w:t>
            </w:r>
          </w:p>
        </w:tc>
        <w:tc>
          <w:tcPr>
            <w:tcW w:w="1408" w:type="dxa"/>
            <w:tcBorders>
              <w:top w:val="nil"/>
              <w:left w:val="nil"/>
              <w:bottom w:val="single" w:sz="8" w:space="0" w:color="auto"/>
              <w:right w:val="single" w:sz="8" w:space="0" w:color="auto"/>
            </w:tcBorders>
          </w:tcPr>
          <w:p w:rsidR="00F8725A" w:rsidRDefault="00BE7D43">
            <w:pPr>
              <w:spacing w:after="0"/>
              <w:jc w:val="center"/>
              <w:rPr>
                <w:noProof/>
                <w:color w:val="000000"/>
                <w:szCs w:val="24"/>
              </w:rPr>
            </w:pPr>
            <w:r>
              <w:rPr>
                <w:noProof/>
                <w:color w:val="000000"/>
                <w:szCs w:val="24"/>
              </w:rPr>
              <w:t>23</w:t>
            </w:r>
          </w:p>
        </w:tc>
      </w:tr>
      <w:tr w:rsidR="00F8725A">
        <w:trPr>
          <w:trHeight w:val="300"/>
        </w:trPr>
        <w:tc>
          <w:tcPr>
            <w:tcW w:w="1177" w:type="dxa"/>
            <w:tcBorders>
              <w:top w:val="nil"/>
              <w:left w:val="single" w:sz="8" w:space="0" w:color="auto"/>
              <w:bottom w:val="single" w:sz="8" w:space="0" w:color="auto"/>
              <w:right w:val="single" w:sz="8" w:space="0" w:color="auto"/>
            </w:tcBorders>
            <w:shd w:val="clear" w:color="auto" w:fill="auto"/>
            <w:noWrap/>
            <w:vAlign w:val="center"/>
            <w:hideMark/>
          </w:tcPr>
          <w:p w:rsidR="00F8725A" w:rsidRDefault="00BE7D43">
            <w:pPr>
              <w:spacing w:after="0"/>
              <w:jc w:val="center"/>
              <w:rPr>
                <w:b/>
                <w:bCs/>
                <w:noProof/>
                <w:color w:val="000000"/>
                <w:szCs w:val="24"/>
              </w:rPr>
            </w:pPr>
            <w:r>
              <w:rPr>
                <w:b/>
                <w:bCs/>
                <w:noProof/>
                <w:color w:val="000000"/>
                <w:szCs w:val="24"/>
              </w:rPr>
              <w:t xml:space="preserve">AST 2 </w:t>
            </w:r>
          </w:p>
        </w:tc>
        <w:tc>
          <w:tcPr>
            <w:tcW w:w="4489" w:type="dxa"/>
            <w:tcBorders>
              <w:top w:val="single" w:sz="8" w:space="0" w:color="auto"/>
              <w:left w:val="nil"/>
              <w:bottom w:val="single" w:sz="8"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Assistance administrative et technique</w:t>
            </w:r>
          </w:p>
        </w:tc>
        <w:tc>
          <w:tcPr>
            <w:tcW w:w="2272"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noProof/>
                <w:color w:val="000000"/>
                <w:szCs w:val="24"/>
              </w:rPr>
            </w:pPr>
            <w:r>
              <w:rPr>
                <w:noProof/>
                <w:color w:val="000000"/>
                <w:szCs w:val="24"/>
              </w:rPr>
              <w:t>15</w:t>
            </w:r>
          </w:p>
        </w:tc>
        <w:tc>
          <w:tcPr>
            <w:tcW w:w="1408" w:type="dxa"/>
            <w:tcBorders>
              <w:top w:val="nil"/>
              <w:left w:val="nil"/>
              <w:bottom w:val="single" w:sz="8" w:space="0" w:color="auto"/>
              <w:right w:val="single" w:sz="8" w:space="0" w:color="auto"/>
            </w:tcBorders>
          </w:tcPr>
          <w:p w:rsidR="00F8725A" w:rsidRDefault="00BE7D43">
            <w:pPr>
              <w:spacing w:after="0"/>
              <w:jc w:val="center"/>
              <w:rPr>
                <w:noProof/>
                <w:color w:val="000000"/>
                <w:szCs w:val="24"/>
              </w:rPr>
            </w:pPr>
            <w:r>
              <w:rPr>
                <w:noProof/>
                <w:color w:val="000000"/>
                <w:szCs w:val="24"/>
              </w:rPr>
              <w:t>23</w:t>
            </w:r>
          </w:p>
        </w:tc>
      </w:tr>
      <w:tr w:rsidR="00F8725A">
        <w:trPr>
          <w:trHeight w:val="300"/>
        </w:trPr>
        <w:tc>
          <w:tcPr>
            <w:tcW w:w="1177" w:type="dxa"/>
            <w:tcBorders>
              <w:top w:val="nil"/>
              <w:left w:val="single" w:sz="8" w:space="0" w:color="auto"/>
              <w:bottom w:val="single" w:sz="8" w:space="0" w:color="auto"/>
              <w:right w:val="single" w:sz="8" w:space="0" w:color="auto"/>
            </w:tcBorders>
            <w:shd w:val="clear" w:color="auto" w:fill="auto"/>
            <w:noWrap/>
            <w:vAlign w:val="center"/>
            <w:hideMark/>
          </w:tcPr>
          <w:p w:rsidR="00F8725A" w:rsidRDefault="00BE7D43">
            <w:pPr>
              <w:spacing w:after="0"/>
              <w:jc w:val="center"/>
              <w:rPr>
                <w:b/>
                <w:bCs/>
                <w:noProof/>
                <w:color w:val="000000"/>
                <w:szCs w:val="24"/>
              </w:rPr>
            </w:pPr>
            <w:r>
              <w:rPr>
                <w:b/>
                <w:bCs/>
                <w:noProof/>
                <w:color w:val="000000"/>
                <w:szCs w:val="24"/>
              </w:rPr>
              <w:t xml:space="preserve">AST/SC 2 </w:t>
            </w:r>
          </w:p>
        </w:tc>
        <w:tc>
          <w:tcPr>
            <w:tcW w:w="4489" w:type="dxa"/>
            <w:tcBorders>
              <w:top w:val="nil"/>
              <w:left w:val="nil"/>
              <w:bottom w:val="single" w:sz="8" w:space="0" w:color="auto"/>
              <w:right w:val="single" w:sz="4" w:space="0" w:color="auto"/>
            </w:tcBorders>
            <w:shd w:val="clear" w:color="auto" w:fill="auto"/>
            <w:noWrap/>
            <w:vAlign w:val="bottom"/>
            <w:hideMark/>
          </w:tcPr>
          <w:p w:rsidR="00F8725A" w:rsidRDefault="00BE7D43">
            <w:pPr>
              <w:spacing w:after="0"/>
              <w:jc w:val="center"/>
              <w:rPr>
                <w:noProof/>
                <w:color w:val="000000"/>
                <w:szCs w:val="24"/>
              </w:rPr>
            </w:pPr>
            <w:r>
              <w:rPr>
                <w:noProof/>
                <w:color w:val="000000"/>
                <w:szCs w:val="24"/>
              </w:rPr>
              <w:t>Appui administratif</w:t>
            </w:r>
          </w:p>
        </w:tc>
        <w:tc>
          <w:tcPr>
            <w:tcW w:w="2272" w:type="dxa"/>
            <w:tcBorders>
              <w:top w:val="nil"/>
              <w:left w:val="nil"/>
              <w:bottom w:val="single" w:sz="8" w:space="0" w:color="auto"/>
              <w:right w:val="single" w:sz="8" w:space="0" w:color="auto"/>
            </w:tcBorders>
            <w:shd w:val="clear" w:color="auto" w:fill="auto"/>
            <w:noWrap/>
            <w:vAlign w:val="center"/>
            <w:hideMark/>
          </w:tcPr>
          <w:p w:rsidR="00F8725A" w:rsidRDefault="00BE7D43">
            <w:pPr>
              <w:spacing w:after="0"/>
              <w:jc w:val="center"/>
              <w:rPr>
                <w:noProof/>
                <w:color w:val="000000"/>
                <w:szCs w:val="24"/>
              </w:rPr>
            </w:pPr>
            <w:r>
              <w:rPr>
                <w:noProof/>
                <w:color w:val="000000"/>
                <w:szCs w:val="24"/>
              </w:rPr>
              <w:t>14</w:t>
            </w:r>
          </w:p>
        </w:tc>
        <w:tc>
          <w:tcPr>
            <w:tcW w:w="1408" w:type="dxa"/>
            <w:tcBorders>
              <w:top w:val="nil"/>
              <w:left w:val="nil"/>
              <w:bottom w:val="single" w:sz="8" w:space="0" w:color="auto"/>
              <w:right w:val="single" w:sz="8" w:space="0" w:color="auto"/>
            </w:tcBorders>
          </w:tcPr>
          <w:p w:rsidR="00F8725A" w:rsidRDefault="00BE7D43">
            <w:pPr>
              <w:spacing w:after="0"/>
              <w:jc w:val="center"/>
              <w:rPr>
                <w:noProof/>
                <w:color w:val="000000"/>
                <w:szCs w:val="24"/>
              </w:rPr>
            </w:pPr>
            <w:r>
              <w:rPr>
                <w:noProof/>
                <w:color w:val="000000"/>
                <w:szCs w:val="24"/>
              </w:rPr>
              <w:t>30</w:t>
            </w:r>
          </w:p>
        </w:tc>
      </w:tr>
    </w:tbl>
    <w:p w:rsidR="00F8725A" w:rsidRDefault="00F8725A">
      <w:pPr>
        <w:rPr>
          <w:noProof/>
          <w:lang w:val="en-IE"/>
        </w:rPr>
      </w:pPr>
    </w:p>
    <w:p w:rsidR="00F8725A" w:rsidRDefault="00F8725A">
      <w:pPr>
        <w:rPr>
          <w:noProof/>
          <w:lang w:val="en-IE"/>
        </w:rPr>
      </w:pPr>
    </w:p>
    <w:p w:rsidR="00F8725A" w:rsidRDefault="00F8725A">
      <w:pPr>
        <w:pStyle w:val="Text2"/>
        <w:ind w:left="0"/>
        <w:rPr>
          <w:noProof/>
          <w:lang w:val="en-IE" w:eastAsia="en-GB"/>
        </w:rPr>
      </w:pPr>
    </w:p>
    <w:p w:rsidR="00F8725A" w:rsidRDefault="00F8725A">
      <w:pPr>
        <w:pStyle w:val="Text2"/>
        <w:ind w:left="0"/>
        <w:rPr>
          <w:noProof/>
          <w:lang w:val="en-IE"/>
        </w:rPr>
      </w:pPr>
    </w:p>
    <w:p w:rsidR="00F8725A" w:rsidRDefault="00BE7D43">
      <w:pPr>
        <w:pStyle w:val="Text2"/>
        <w:ind w:left="0"/>
        <w:rPr>
          <w:b/>
          <w:bCs/>
          <w:noProof/>
        </w:rPr>
      </w:pPr>
      <w:r>
        <w:rPr>
          <w:b/>
          <w:bCs/>
          <w:noProof/>
        </w:rPr>
        <w:t xml:space="preserve">Annexe 14: promotions «première filière» 2014 – 2019 </w:t>
      </w:r>
    </w:p>
    <w:p w:rsidR="00F8725A" w:rsidRDefault="00BE7D43">
      <w:pPr>
        <w:spacing w:after="0"/>
        <w:textAlignment w:val="baseline"/>
        <w:rPr>
          <w:b/>
          <w:noProof/>
          <w:szCs w:val="24"/>
        </w:rPr>
      </w:pPr>
      <w:r>
        <w:rPr>
          <w:b/>
          <w:bCs/>
          <w:noProof/>
          <w:szCs w:val="24"/>
        </w:rPr>
        <w:t xml:space="preserve">Annexe 14.1: </w:t>
      </w:r>
      <w:r>
        <w:rPr>
          <w:b/>
          <w:noProof/>
          <w:szCs w:val="24"/>
        </w:rPr>
        <w:t>promotions «première filière» – Commission européenne</w:t>
      </w:r>
    </w:p>
    <w:p w:rsidR="00F8725A" w:rsidRDefault="00F8725A">
      <w:pPr>
        <w:spacing w:after="0"/>
        <w:textAlignment w:val="baseline"/>
        <w:rPr>
          <w:b/>
          <w:noProof/>
          <w:szCs w:val="24"/>
          <w:lang w:val="fr-BE"/>
        </w:rPr>
      </w:pPr>
    </w:p>
    <w:tbl>
      <w:tblPr>
        <w:tblW w:w="5000" w:type="pct"/>
        <w:tblLook w:val="04A0" w:firstRow="1" w:lastRow="0" w:firstColumn="1" w:lastColumn="0" w:noHBand="0" w:noVBand="1"/>
      </w:tblPr>
      <w:tblGrid>
        <w:gridCol w:w="792"/>
        <w:gridCol w:w="2041"/>
        <w:gridCol w:w="1009"/>
        <w:gridCol w:w="900"/>
        <w:gridCol w:w="900"/>
        <w:gridCol w:w="900"/>
        <w:gridCol w:w="900"/>
        <w:gridCol w:w="900"/>
        <w:gridCol w:w="900"/>
      </w:tblGrid>
      <w:tr w:rsidR="00F8725A">
        <w:trPr>
          <w:trHeight w:val="310"/>
        </w:trPr>
        <w:tc>
          <w:tcPr>
            <w:tcW w:w="428"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104"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54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87"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87"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87"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87"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87"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87"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90"/>
        </w:trPr>
        <w:tc>
          <w:tcPr>
            <w:tcW w:w="428"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10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54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87"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7,43 %</w:t>
            </w:r>
          </w:p>
        </w:tc>
        <w:tc>
          <w:tcPr>
            <w:tcW w:w="487"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7,91 %</w:t>
            </w:r>
          </w:p>
        </w:tc>
        <w:tc>
          <w:tcPr>
            <w:tcW w:w="487"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3,83 %</w:t>
            </w:r>
          </w:p>
        </w:tc>
        <w:tc>
          <w:tcPr>
            <w:tcW w:w="487"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3,37 %</w:t>
            </w:r>
          </w:p>
        </w:tc>
        <w:tc>
          <w:tcPr>
            <w:tcW w:w="487"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3,05 %</w:t>
            </w:r>
          </w:p>
        </w:tc>
        <w:tc>
          <w:tcPr>
            <w:tcW w:w="487"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2,41 %</w:t>
            </w:r>
          </w:p>
        </w:tc>
      </w:tr>
      <w:tr w:rsidR="00F8725A">
        <w:trPr>
          <w:trHeight w:val="290"/>
        </w:trPr>
        <w:tc>
          <w:tcPr>
            <w:tcW w:w="428"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104"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54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87"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7,55 %</w:t>
            </w:r>
          </w:p>
        </w:tc>
        <w:tc>
          <w:tcPr>
            <w:tcW w:w="487"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7,30 %</w:t>
            </w:r>
          </w:p>
        </w:tc>
        <w:tc>
          <w:tcPr>
            <w:tcW w:w="487"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7,84 %</w:t>
            </w:r>
          </w:p>
        </w:tc>
        <w:tc>
          <w:tcPr>
            <w:tcW w:w="487"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7,16 %</w:t>
            </w:r>
          </w:p>
        </w:tc>
        <w:tc>
          <w:tcPr>
            <w:tcW w:w="487"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7,56 %</w:t>
            </w:r>
          </w:p>
        </w:tc>
        <w:tc>
          <w:tcPr>
            <w:tcW w:w="487"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5,75 %</w:t>
            </w:r>
          </w:p>
        </w:tc>
      </w:tr>
      <w:tr w:rsidR="00F8725A">
        <w:trPr>
          <w:trHeight w:val="290"/>
        </w:trPr>
        <w:tc>
          <w:tcPr>
            <w:tcW w:w="428" w:type="pct"/>
            <w:tcBorders>
              <w:top w:val="nil"/>
              <w:left w:val="nil"/>
              <w:bottom w:val="nil"/>
              <w:right w:val="nil"/>
            </w:tcBorders>
            <w:shd w:val="clear" w:color="1F4E78" w:fill="1F4E78"/>
            <w:noWrap/>
            <w:vAlign w:val="bottom"/>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 xml:space="preserve"> </w:t>
            </w:r>
          </w:p>
        </w:tc>
        <w:tc>
          <w:tcPr>
            <w:tcW w:w="1104" w:type="pct"/>
            <w:tcBorders>
              <w:top w:val="nil"/>
              <w:left w:val="nil"/>
              <w:bottom w:val="nil"/>
              <w:right w:val="nil"/>
            </w:tcBorders>
            <w:shd w:val="clear" w:color="1F4E78" w:fill="1F4E78"/>
            <w:noWrap/>
            <w:vAlign w:val="bottom"/>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 xml:space="preserve"> </w:t>
            </w:r>
          </w:p>
        </w:tc>
        <w:tc>
          <w:tcPr>
            <w:tcW w:w="546" w:type="pct"/>
            <w:tcBorders>
              <w:top w:val="nil"/>
              <w:left w:val="nil"/>
              <w:bottom w:val="nil"/>
              <w:right w:val="nil"/>
            </w:tcBorders>
            <w:shd w:val="clear" w:color="1F4E78" w:fill="1F4E78"/>
            <w:noWrap/>
            <w:vAlign w:val="bottom"/>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 xml:space="preserve"> </w:t>
            </w:r>
          </w:p>
        </w:tc>
        <w:tc>
          <w:tcPr>
            <w:tcW w:w="487" w:type="pct"/>
            <w:tcBorders>
              <w:top w:val="nil"/>
              <w:left w:val="nil"/>
              <w:bottom w:val="nil"/>
              <w:right w:val="nil"/>
            </w:tcBorders>
            <w:shd w:val="clear" w:color="1F4E78" w:fill="1F4E78"/>
            <w:noWrap/>
            <w:vAlign w:val="bottom"/>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 xml:space="preserve"> </w:t>
            </w:r>
          </w:p>
        </w:tc>
        <w:tc>
          <w:tcPr>
            <w:tcW w:w="487" w:type="pct"/>
            <w:tcBorders>
              <w:top w:val="nil"/>
              <w:left w:val="nil"/>
              <w:bottom w:val="nil"/>
              <w:right w:val="nil"/>
            </w:tcBorders>
            <w:shd w:val="clear" w:color="1F4E78" w:fill="1F4E78"/>
            <w:noWrap/>
            <w:vAlign w:val="bottom"/>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 xml:space="preserve"> </w:t>
            </w:r>
          </w:p>
        </w:tc>
        <w:tc>
          <w:tcPr>
            <w:tcW w:w="487" w:type="pct"/>
            <w:tcBorders>
              <w:top w:val="nil"/>
              <w:left w:val="nil"/>
              <w:bottom w:val="nil"/>
              <w:right w:val="nil"/>
            </w:tcBorders>
            <w:shd w:val="clear" w:color="1F4E78" w:fill="1F4E78"/>
            <w:noWrap/>
            <w:vAlign w:val="bottom"/>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 xml:space="preserve"> </w:t>
            </w:r>
          </w:p>
        </w:tc>
        <w:tc>
          <w:tcPr>
            <w:tcW w:w="487" w:type="pct"/>
            <w:tcBorders>
              <w:top w:val="nil"/>
              <w:left w:val="nil"/>
              <w:bottom w:val="nil"/>
              <w:right w:val="nil"/>
            </w:tcBorders>
            <w:shd w:val="clear" w:color="1F4E78" w:fill="1F4E78"/>
            <w:noWrap/>
            <w:vAlign w:val="bottom"/>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 xml:space="preserve"> </w:t>
            </w:r>
          </w:p>
        </w:tc>
        <w:tc>
          <w:tcPr>
            <w:tcW w:w="487" w:type="pct"/>
            <w:tcBorders>
              <w:top w:val="nil"/>
              <w:left w:val="nil"/>
              <w:bottom w:val="nil"/>
              <w:right w:val="nil"/>
            </w:tcBorders>
            <w:shd w:val="clear" w:color="1F4E78" w:fill="1F4E78"/>
            <w:noWrap/>
            <w:vAlign w:val="bottom"/>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 xml:space="preserve"> </w:t>
            </w:r>
          </w:p>
        </w:tc>
        <w:tc>
          <w:tcPr>
            <w:tcW w:w="487" w:type="pct"/>
            <w:tcBorders>
              <w:top w:val="nil"/>
              <w:left w:val="nil"/>
              <w:bottom w:val="nil"/>
              <w:right w:val="nil"/>
            </w:tcBorders>
            <w:shd w:val="clear" w:color="1F4E78" w:fill="1F4E78"/>
            <w:noWrap/>
            <w:vAlign w:val="bottom"/>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 xml:space="preserve"> </w:t>
            </w:r>
          </w:p>
        </w:tc>
      </w:tr>
    </w:tbl>
    <w:p w:rsidR="00F8725A" w:rsidRDefault="00F8725A">
      <w:pPr>
        <w:spacing w:after="0"/>
        <w:textAlignment w:val="baseline"/>
        <w:rPr>
          <w:noProof/>
          <w:szCs w:val="24"/>
          <w:lang w:val="en-IE"/>
        </w:rPr>
      </w:pPr>
    </w:p>
    <w:p w:rsidR="00F8725A" w:rsidRDefault="00BE7D43">
      <w:pPr>
        <w:spacing w:after="0"/>
        <w:textAlignment w:val="baseline"/>
        <w:rPr>
          <w:b/>
          <w:bCs/>
          <w:noProof/>
          <w:szCs w:val="24"/>
        </w:rPr>
      </w:pPr>
      <w:r>
        <w:rPr>
          <w:b/>
          <w:bCs/>
          <w:noProof/>
          <w:szCs w:val="24"/>
        </w:rPr>
        <w:t xml:space="preserve">Annexe 14.2: promotions «première filière» – Parlement européen </w:t>
      </w:r>
    </w:p>
    <w:p w:rsidR="00F8725A" w:rsidRDefault="00F8725A">
      <w:pPr>
        <w:spacing w:after="0"/>
        <w:textAlignment w:val="baseline"/>
        <w:rPr>
          <w:b/>
          <w:bCs/>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noProof/>
          <w:szCs w:val="24"/>
          <w:lang w:val="fr-BE"/>
        </w:rPr>
      </w:pPr>
    </w:p>
    <w:p w:rsidR="00F8725A" w:rsidRDefault="00BE7D43">
      <w:pPr>
        <w:spacing w:after="0"/>
        <w:textAlignment w:val="baseline"/>
        <w:rPr>
          <w:b/>
          <w:bCs/>
          <w:noProof/>
          <w:szCs w:val="24"/>
        </w:rPr>
      </w:pPr>
      <w:r>
        <w:rPr>
          <w:b/>
          <w:bCs/>
          <w:noProof/>
          <w:szCs w:val="24"/>
        </w:rPr>
        <w:t xml:space="preserve">Annexe 14.3: promotions «première filière» – Conseil </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842"/>
        <w:gridCol w:w="2221"/>
        <w:gridCol w:w="1075"/>
        <w:gridCol w:w="926"/>
        <w:gridCol w:w="813"/>
        <w:gridCol w:w="813"/>
        <w:gridCol w:w="926"/>
        <w:gridCol w:w="813"/>
        <w:gridCol w:w="813"/>
      </w:tblGrid>
      <w:tr w:rsidR="00F8725A">
        <w:trPr>
          <w:trHeight w:val="300"/>
        </w:trPr>
        <w:tc>
          <w:tcPr>
            <w:tcW w:w="465"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211"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59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510"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28"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28"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10"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28"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28"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65"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211"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591"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510"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15,43 %</w:t>
            </w:r>
          </w:p>
        </w:tc>
        <w:tc>
          <w:tcPr>
            <w:tcW w:w="428"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2,16 %</w:t>
            </w:r>
          </w:p>
        </w:tc>
        <w:tc>
          <w:tcPr>
            <w:tcW w:w="428"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1,84 %</w:t>
            </w:r>
          </w:p>
        </w:tc>
        <w:tc>
          <w:tcPr>
            <w:tcW w:w="510"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10,05 %</w:t>
            </w:r>
          </w:p>
        </w:tc>
        <w:tc>
          <w:tcPr>
            <w:tcW w:w="428"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6,35 %</w:t>
            </w:r>
          </w:p>
        </w:tc>
        <w:tc>
          <w:tcPr>
            <w:tcW w:w="428"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8,51 %</w:t>
            </w:r>
          </w:p>
        </w:tc>
      </w:tr>
      <w:tr w:rsidR="00F8725A">
        <w:trPr>
          <w:trHeight w:val="285"/>
        </w:trPr>
        <w:tc>
          <w:tcPr>
            <w:tcW w:w="465"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211"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591"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510" w:type="pct"/>
            <w:tcBorders>
              <w:top w:val="single" w:sz="4" w:space="0" w:color="DDEBF7"/>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8,70 %</w:t>
            </w:r>
          </w:p>
        </w:tc>
        <w:tc>
          <w:tcPr>
            <w:tcW w:w="428" w:type="pct"/>
            <w:tcBorders>
              <w:top w:val="single" w:sz="4" w:space="0" w:color="DDEBF7"/>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8,93 %</w:t>
            </w:r>
          </w:p>
        </w:tc>
        <w:tc>
          <w:tcPr>
            <w:tcW w:w="428" w:type="pct"/>
            <w:tcBorders>
              <w:top w:val="single" w:sz="4" w:space="0" w:color="DDEBF7"/>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8,96 %</w:t>
            </w:r>
          </w:p>
        </w:tc>
        <w:tc>
          <w:tcPr>
            <w:tcW w:w="510" w:type="pct"/>
            <w:tcBorders>
              <w:top w:val="single" w:sz="4" w:space="0" w:color="DDEBF7"/>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9,76 %</w:t>
            </w:r>
          </w:p>
        </w:tc>
        <w:tc>
          <w:tcPr>
            <w:tcW w:w="428" w:type="pct"/>
            <w:tcBorders>
              <w:top w:val="single" w:sz="4" w:space="0" w:color="DDEBF7"/>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7,92 %</w:t>
            </w:r>
          </w:p>
        </w:tc>
        <w:tc>
          <w:tcPr>
            <w:tcW w:w="428" w:type="pct"/>
            <w:tcBorders>
              <w:top w:val="single" w:sz="4" w:space="0" w:color="DDEBF7"/>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8,13 %</w:t>
            </w:r>
          </w:p>
        </w:tc>
      </w:tr>
      <w:tr w:rsidR="00F8725A">
        <w:trPr>
          <w:trHeight w:val="285"/>
        </w:trPr>
        <w:tc>
          <w:tcPr>
            <w:tcW w:w="465" w:type="pct"/>
            <w:tcBorders>
              <w:top w:val="single" w:sz="4" w:space="0" w:color="DDEBF7"/>
              <w:left w:val="nil"/>
              <w:bottom w:val="nil"/>
              <w:right w:val="nil"/>
            </w:tcBorders>
            <w:shd w:val="clear" w:color="1F4E78" w:fill="1F4E78"/>
            <w:noWrap/>
            <w:vAlign w:val="bottom"/>
            <w:hideMark/>
          </w:tcPr>
          <w:p w:rsidR="00F8725A" w:rsidRDefault="00F8725A">
            <w:pPr>
              <w:spacing w:after="0"/>
              <w:jc w:val="center"/>
              <w:rPr>
                <w:rFonts w:ascii="Calibri" w:hAnsi="Calibri" w:cs="Calibri"/>
                <w:noProof/>
                <w:sz w:val="22"/>
                <w:szCs w:val="22"/>
                <w:lang w:val="en-IE" w:eastAsia="en-IE"/>
              </w:rPr>
            </w:pPr>
          </w:p>
        </w:tc>
        <w:tc>
          <w:tcPr>
            <w:tcW w:w="1211"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591"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510"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28"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28"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510"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28"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28"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 xml:space="preserve">Annexe 14.4: promotions «première filière» – Cour de justice </w:t>
      </w:r>
    </w:p>
    <w:p w:rsidR="00F8725A" w:rsidRDefault="00F8725A">
      <w:pPr>
        <w:spacing w:after="0"/>
        <w:textAlignment w:val="baseline"/>
        <w:rPr>
          <w:b/>
          <w:bCs/>
          <w:noProof/>
          <w:szCs w:val="24"/>
          <w:lang w:val="fr-BE"/>
        </w:rPr>
      </w:pPr>
    </w:p>
    <w:p w:rsidR="00F8725A" w:rsidRDefault="00BE7D43">
      <w:pPr>
        <w:spacing w:after="0"/>
        <w:textAlignment w:val="baseline"/>
        <w:rPr>
          <w:bCs/>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14.5: promotions «première filière» – Cour des comptes</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842"/>
        <w:gridCol w:w="2221"/>
        <w:gridCol w:w="1075"/>
        <w:gridCol w:w="813"/>
        <w:gridCol w:w="813"/>
        <w:gridCol w:w="926"/>
        <w:gridCol w:w="813"/>
        <w:gridCol w:w="813"/>
        <w:gridCol w:w="926"/>
      </w:tblGrid>
      <w:tr w:rsidR="00F8725A">
        <w:trPr>
          <w:trHeight w:val="300"/>
        </w:trPr>
        <w:tc>
          <w:tcPr>
            <w:tcW w:w="465"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211"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59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28"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28"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10"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28"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28"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10"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65"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211"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591"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2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2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10"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9,62 %</w:t>
            </w:r>
          </w:p>
        </w:tc>
        <w:tc>
          <w:tcPr>
            <w:tcW w:w="42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2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10"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10,71 %</w:t>
            </w:r>
          </w:p>
        </w:tc>
      </w:tr>
      <w:tr w:rsidR="00F8725A">
        <w:trPr>
          <w:trHeight w:val="285"/>
        </w:trPr>
        <w:tc>
          <w:tcPr>
            <w:tcW w:w="465"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211"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591"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28"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28"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10"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18,18 %</w:t>
            </w:r>
          </w:p>
        </w:tc>
        <w:tc>
          <w:tcPr>
            <w:tcW w:w="428"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28"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10"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15,79 %</w:t>
            </w:r>
          </w:p>
        </w:tc>
      </w:tr>
      <w:tr w:rsidR="00F8725A">
        <w:trPr>
          <w:trHeight w:val="285"/>
        </w:trPr>
        <w:tc>
          <w:tcPr>
            <w:tcW w:w="465" w:type="pct"/>
            <w:tcBorders>
              <w:top w:val="single" w:sz="4" w:space="0" w:color="DDEBF7"/>
              <w:left w:val="nil"/>
              <w:bottom w:val="nil"/>
              <w:right w:val="nil"/>
            </w:tcBorders>
            <w:shd w:val="clear" w:color="1F4E78" w:fill="1F4E78"/>
            <w:noWrap/>
            <w:vAlign w:val="bottom"/>
            <w:hideMark/>
          </w:tcPr>
          <w:p w:rsidR="00F8725A" w:rsidRDefault="00F8725A">
            <w:pPr>
              <w:spacing w:after="0"/>
              <w:jc w:val="right"/>
              <w:rPr>
                <w:rFonts w:ascii="Calibri" w:hAnsi="Calibri" w:cs="Calibri"/>
                <w:noProof/>
                <w:sz w:val="22"/>
                <w:szCs w:val="22"/>
                <w:lang w:val="en-IE" w:eastAsia="en-IE"/>
              </w:rPr>
            </w:pPr>
          </w:p>
        </w:tc>
        <w:tc>
          <w:tcPr>
            <w:tcW w:w="1211"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591"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28"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28"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510"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28"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28"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510"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14.6: promotions «première filière» – Service européen pour l’action extérieure</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723"/>
        <w:gridCol w:w="2037"/>
        <w:gridCol w:w="945"/>
        <w:gridCol w:w="659"/>
        <w:gridCol w:w="813"/>
        <w:gridCol w:w="813"/>
        <w:gridCol w:w="813"/>
        <w:gridCol w:w="813"/>
        <w:gridCol w:w="813"/>
        <w:gridCol w:w="813"/>
      </w:tblGrid>
      <w:tr w:rsidR="00F8725A">
        <w:trPr>
          <w:trHeight w:val="300"/>
        </w:trPr>
        <w:tc>
          <w:tcPr>
            <w:tcW w:w="431"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142"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55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396" w:type="pct"/>
            <w:tcBorders>
              <w:top w:val="nil"/>
              <w:left w:val="nil"/>
              <w:bottom w:val="nil"/>
              <w:right w:val="nil"/>
            </w:tcBorders>
            <w:shd w:val="clear" w:color="000000" w:fill="4BACC6"/>
          </w:tcPr>
          <w:p w:rsidR="00F8725A" w:rsidRDefault="00F8725A">
            <w:pPr>
              <w:spacing w:after="0"/>
              <w:jc w:val="center"/>
              <w:rPr>
                <w:rFonts w:ascii="Calibri" w:hAnsi="Calibri" w:cs="Calibri"/>
                <w:b/>
                <w:bCs/>
                <w:noProof/>
                <w:color w:val="FFFFFF"/>
                <w:szCs w:val="24"/>
                <w:lang w:val="en-IE" w:eastAsia="en-IE"/>
              </w:rPr>
            </w:pPr>
          </w:p>
        </w:tc>
        <w:tc>
          <w:tcPr>
            <w:tcW w:w="413"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13"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13"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13"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13"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13"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31"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142"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551"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396" w:type="pct"/>
            <w:tcBorders>
              <w:top w:val="nil"/>
              <w:left w:val="nil"/>
              <w:bottom w:val="single" w:sz="4" w:space="0" w:color="DDEBF7"/>
              <w:right w:val="nil"/>
            </w:tcBorders>
            <w:shd w:val="clear" w:color="BDD7EE" w:fill="BDD7EE"/>
          </w:tcPr>
          <w:p w:rsidR="00F8725A" w:rsidRDefault="00F8725A">
            <w:pPr>
              <w:spacing w:after="0"/>
              <w:jc w:val="left"/>
              <w:rPr>
                <w:rFonts w:ascii="Calibri" w:hAnsi="Calibri" w:cs="Calibri"/>
                <w:noProof/>
                <w:color w:val="000000"/>
                <w:sz w:val="22"/>
                <w:szCs w:val="22"/>
                <w:lang w:val="en-IE" w:eastAsia="en-IE"/>
              </w:rPr>
            </w:pPr>
          </w:p>
        </w:tc>
        <w:tc>
          <w:tcPr>
            <w:tcW w:w="413" w:type="pct"/>
            <w:tcBorders>
              <w:top w:val="nil"/>
              <w:left w:val="nil"/>
              <w:bottom w:val="single" w:sz="4" w:space="0" w:color="DDEBF7"/>
              <w:right w:val="nil"/>
            </w:tcBorders>
            <w:shd w:val="clear" w:color="BDD7EE" w:fill="BDD7EE"/>
            <w:noWrap/>
            <w:vAlign w:val="bottom"/>
            <w:hideMark/>
          </w:tcPr>
          <w:p w:rsidR="00F8725A" w:rsidRDefault="00F8725A">
            <w:pPr>
              <w:spacing w:after="0"/>
              <w:jc w:val="left"/>
              <w:rPr>
                <w:rFonts w:ascii="Calibri" w:hAnsi="Calibri" w:cs="Calibri"/>
                <w:noProof/>
                <w:color w:val="000000"/>
                <w:sz w:val="22"/>
                <w:szCs w:val="22"/>
                <w:lang w:val="en-IE" w:eastAsia="en-IE"/>
              </w:rPr>
            </w:pPr>
          </w:p>
        </w:tc>
        <w:tc>
          <w:tcPr>
            <w:tcW w:w="413" w:type="pct"/>
            <w:tcBorders>
              <w:top w:val="nil"/>
              <w:left w:val="nil"/>
              <w:bottom w:val="single" w:sz="4" w:space="0" w:color="DDEBF7"/>
              <w:right w:val="nil"/>
            </w:tcBorders>
            <w:shd w:val="clear" w:color="BDD7EE" w:fill="BDD7EE"/>
            <w:noWrap/>
            <w:vAlign w:val="bottom"/>
            <w:hideMark/>
          </w:tcPr>
          <w:p w:rsidR="00F8725A" w:rsidRDefault="00F8725A">
            <w:pPr>
              <w:spacing w:after="0"/>
              <w:jc w:val="left"/>
              <w:rPr>
                <w:noProof/>
                <w:sz w:val="20"/>
                <w:lang w:val="en-IE" w:eastAsia="en-IE"/>
              </w:rPr>
            </w:pPr>
          </w:p>
        </w:tc>
        <w:tc>
          <w:tcPr>
            <w:tcW w:w="413" w:type="pct"/>
            <w:tcBorders>
              <w:top w:val="nil"/>
              <w:left w:val="nil"/>
              <w:bottom w:val="single" w:sz="4" w:space="0" w:color="DDEBF7"/>
              <w:right w:val="nil"/>
            </w:tcBorders>
            <w:shd w:val="clear" w:color="BDD7EE" w:fill="BDD7EE"/>
            <w:noWrap/>
            <w:vAlign w:val="bottom"/>
            <w:hideMark/>
          </w:tcPr>
          <w:p w:rsidR="00F8725A" w:rsidRDefault="00F8725A">
            <w:pPr>
              <w:spacing w:after="0"/>
              <w:jc w:val="left"/>
              <w:rPr>
                <w:noProof/>
                <w:sz w:val="20"/>
                <w:lang w:val="en-IE" w:eastAsia="en-IE"/>
              </w:rPr>
            </w:pPr>
          </w:p>
        </w:tc>
        <w:tc>
          <w:tcPr>
            <w:tcW w:w="413" w:type="pct"/>
            <w:tcBorders>
              <w:top w:val="nil"/>
              <w:left w:val="nil"/>
              <w:bottom w:val="single" w:sz="4" w:space="0" w:color="DDEBF7"/>
              <w:right w:val="nil"/>
            </w:tcBorders>
            <w:shd w:val="clear" w:color="BDD7EE" w:fill="BDD7EE"/>
            <w:noWrap/>
            <w:vAlign w:val="bottom"/>
            <w:hideMark/>
          </w:tcPr>
          <w:p w:rsidR="00F8725A" w:rsidRDefault="00F8725A">
            <w:pPr>
              <w:spacing w:after="0"/>
              <w:jc w:val="left"/>
              <w:rPr>
                <w:noProof/>
                <w:sz w:val="20"/>
                <w:lang w:val="en-IE" w:eastAsia="en-IE"/>
              </w:rPr>
            </w:pPr>
          </w:p>
        </w:tc>
        <w:tc>
          <w:tcPr>
            <w:tcW w:w="413" w:type="pct"/>
            <w:tcBorders>
              <w:top w:val="nil"/>
              <w:left w:val="nil"/>
              <w:bottom w:val="single" w:sz="4" w:space="0" w:color="DDEBF7"/>
              <w:right w:val="nil"/>
            </w:tcBorders>
            <w:shd w:val="clear" w:color="BDD7EE" w:fill="BDD7EE"/>
            <w:noWrap/>
            <w:vAlign w:val="bottom"/>
            <w:hideMark/>
          </w:tcPr>
          <w:p w:rsidR="00F8725A" w:rsidRDefault="00F8725A">
            <w:pPr>
              <w:spacing w:after="0"/>
              <w:jc w:val="left"/>
              <w:rPr>
                <w:noProof/>
                <w:sz w:val="20"/>
                <w:lang w:val="en-IE" w:eastAsia="en-IE"/>
              </w:rPr>
            </w:pPr>
          </w:p>
        </w:tc>
        <w:tc>
          <w:tcPr>
            <w:tcW w:w="413" w:type="pct"/>
            <w:tcBorders>
              <w:top w:val="nil"/>
              <w:left w:val="nil"/>
              <w:bottom w:val="single" w:sz="4" w:space="0" w:color="DDEBF7"/>
              <w:right w:val="nil"/>
            </w:tcBorders>
            <w:shd w:val="clear" w:color="BDD7EE" w:fill="BDD7EE"/>
            <w:noWrap/>
            <w:vAlign w:val="bottom"/>
            <w:hideMark/>
          </w:tcPr>
          <w:p w:rsidR="00F8725A" w:rsidRDefault="00F8725A">
            <w:pPr>
              <w:spacing w:after="0"/>
              <w:jc w:val="left"/>
              <w:rPr>
                <w:noProof/>
                <w:sz w:val="20"/>
                <w:lang w:val="en-IE" w:eastAsia="en-IE"/>
              </w:rPr>
            </w:pPr>
          </w:p>
        </w:tc>
      </w:tr>
      <w:tr w:rsidR="00F8725A">
        <w:trPr>
          <w:trHeight w:val="285"/>
        </w:trPr>
        <w:tc>
          <w:tcPr>
            <w:tcW w:w="431"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142"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551"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396" w:type="pct"/>
            <w:tcBorders>
              <w:top w:val="nil"/>
              <w:left w:val="nil"/>
              <w:bottom w:val="single" w:sz="4" w:space="0" w:color="DDEBF7"/>
              <w:right w:val="nil"/>
            </w:tcBorders>
            <w:shd w:val="clear" w:color="BDD7EE" w:fill="BDD7EE"/>
          </w:tcPr>
          <w:p w:rsidR="00F8725A" w:rsidRDefault="00F8725A">
            <w:pPr>
              <w:spacing w:after="0"/>
              <w:jc w:val="right"/>
              <w:rPr>
                <w:rFonts w:ascii="Calibri" w:hAnsi="Calibri" w:cs="Calibri"/>
                <w:noProof/>
                <w:color w:val="000000"/>
                <w:sz w:val="22"/>
                <w:szCs w:val="22"/>
                <w:lang w:val="en-IE" w:eastAsia="en-IE"/>
              </w:rPr>
            </w:pPr>
          </w:p>
        </w:tc>
        <w:tc>
          <w:tcPr>
            <w:tcW w:w="413"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2,38 %</w:t>
            </w:r>
          </w:p>
        </w:tc>
        <w:tc>
          <w:tcPr>
            <w:tcW w:w="413"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7,81 %</w:t>
            </w:r>
          </w:p>
        </w:tc>
        <w:tc>
          <w:tcPr>
            <w:tcW w:w="413"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6,15 %</w:t>
            </w:r>
          </w:p>
        </w:tc>
        <w:tc>
          <w:tcPr>
            <w:tcW w:w="413"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7,46 %</w:t>
            </w:r>
          </w:p>
        </w:tc>
        <w:tc>
          <w:tcPr>
            <w:tcW w:w="413"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13"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7,14 %</w:t>
            </w:r>
          </w:p>
        </w:tc>
      </w:tr>
      <w:tr w:rsidR="00F8725A">
        <w:trPr>
          <w:trHeight w:val="285"/>
        </w:trPr>
        <w:tc>
          <w:tcPr>
            <w:tcW w:w="431" w:type="pct"/>
            <w:tcBorders>
              <w:top w:val="single" w:sz="4" w:space="0" w:color="DDEBF7"/>
              <w:left w:val="nil"/>
              <w:bottom w:val="nil"/>
              <w:right w:val="nil"/>
            </w:tcBorders>
            <w:shd w:val="clear" w:color="1F4E78" w:fill="1F4E78"/>
            <w:noWrap/>
            <w:vAlign w:val="bottom"/>
            <w:hideMark/>
          </w:tcPr>
          <w:p w:rsidR="00F8725A" w:rsidRDefault="00F8725A">
            <w:pPr>
              <w:spacing w:after="0"/>
              <w:jc w:val="right"/>
              <w:rPr>
                <w:rFonts w:ascii="Calibri" w:hAnsi="Calibri" w:cs="Calibri"/>
                <w:noProof/>
                <w:color w:val="000000"/>
                <w:sz w:val="22"/>
                <w:szCs w:val="22"/>
                <w:lang w:val="en-IE" w:eastAsia="en-IE"/>
              </w:rPr>
            </w:pPr>
          </w:p>
        </w:tc>
        <w:tc>
          <w:tcPr>
            <w:tcW w:w="1142"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551"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396" w:type="pct"/>
            <w:tcBorders>
              <w:top w:val="single" w:sz="4" w:space="0" w:color="DDEBF7"/>
              <w:left w:val="nil"/>
              <w:bottom w:val="nil"/>
              <w:right w:val="nil"/>
            </w:tcBorders>
            <w:shd w:val="clear" w:color="1F4E78" w:fill="1F4E78"/>
          </w:tcPr>
          <w:p w:rsidR="00F8725A" w:rsidRDefault="00F8725A">
            <w:pPr>
              <w:spacing w:after="0"/>
              <w:jc w:val="left"/>
              <w:rPr>
                <w:noProof/>
                <w:sz w:val="20"/>
                <w:lang w:val="en-IE" w:eastAsia="en-IE"/>
              </w:rPr>
            </w:pPr>
          </w:p>
        </w:tc>
        <w:tc>
          <w:tcPr>
            <w:tcW w:w="413"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13"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13"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13"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13"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13"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14.7: promotions «première filière» – Comité économique et social européen</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863"/>
        <w:gridCol w:w="2266"/>
        <w:gridCol w:w="1101"/>
        <w:gridCol w:w="813"/>
        <w:gridCol w:w="947"/>
        <w:gridCol w:w="813"/>
        <w:gridCol w:w="813"/>
        <w:gridCol w:w="813"/>
        <w:gridCol w:w="813"/>
      </w:tblGrid>
      <w:tr w:rsidR="00F8725A">
        <w:trPr>
          <w:trHeight w:val="300"/>
        </w:trPr>
        <w:tc>
          <w:tcPr>
            <w:tcW w:w="473"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232"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60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3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18"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3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3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3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3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232"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601"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3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1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3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3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3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3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85"/>
        </w:trPr>
        <w:tc>
          <w:tcPr>
            <w:tcW w:w="4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232"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601"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35"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18"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16,67 %</w:t>
            </w:r>
          </w:p>
        </w:tc>
        <w:tc>
          <w:tcPr>
            <w:tcW w:w="435"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35"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8,33 %</w:t>
            </w:r>
          </w:p>
        </w:tc>
        <w:tc>
          <w:tcPr>
            <w:tcW w:w="435"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35" w:type="pct"/>
            <w:tcBorders>
              <w:top w:val="single" w:sz="4" w:space="0" w:color="DDEBF7"/>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85"/>
        </w:trPr>
        <w:tc>
          <w:tcPr>
            <w:tcW w:w="473" w:type="pct"/>
            <w:tcBorders>
              <w:top w:val="single" w:sz="4" w:space="0" w:color="DDEBF7"/>
              <w:left w:val="nil"/>
              <w:bottom w:val="nil"/>
              <w:right w:val="nil"/>
            </w:tcBorders>
            <w:shd w:val="clear" w:color="1F4E78" w:fill="1F4E78"/>
            <w:noWrap/>
            <w:vAlign w:val="bottom"/>
            <w:hideMark/>
          </w:tcPr>
          <w:p w:rsidR="00F8725A" w:rsidRDefault="00F8725A">
            <w:pPr>
              <w:spacing w:after="0"/>
              <w:jc w:val="right"/>
              <w:rPr>
                <w:rFonts w:ascii="Calibri" w:hAnsi="Calibri" w:cs="Calibri"/>
                <w:noProof/>
                <w:sz w:val="22"/>
                <w:szCs w:val="22"/>
                <w:lang w:val="en-IE" w:eastAsia="en-IE"/>
              </w:rPr>
            </w:pPr>
          </w:p>
        </w:tc>
        <w:tc>
          <w:tcPr>
            <w:tcW w:w="1232"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601"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35"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518"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35"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35"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35"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c>
          <w:tcPr>
            <w:tcW w:w="435" w:type="pct"/>
            <w:tcBorders>
              <w:top w:val="single" w:sz="4" w:space="0" w:color="DDEBF7"/>
              <w:left w:val="nil"/>
              <w:bottom w:val="nil"/>
              <w:right w:val="nil"/>
            </w:tcBorders>
            <w:shd w:val="clear" w:color="1F4E78" w:fill="1F4E78"/>
            <w:noWrap/>
            <w:vAlign w:val="bottom"/>
            <w:hideMark/>
          </w:tcPr>
          <w:p w:rsidR="00F8725A" w:rsidRDefault="00F8725A">
            <w:pPr>
              <w:spacing w:after="0"/>
              <w:jc w:val="left"/>
              <w:rPr>
                <w:noProof/>
                <w:sz w:val="20"/>
                <w:lang w:val="en-IE" w:eastAsia="en-IE"/>
              </w:rPr>
            </w:pPr>
          </w:p>
        </w:tc>
      </w:tr>
    </w:tbl>
    <w:p w:rsidR="00F8725A" w:rsidRDefault="00BE7D43">
      <w:pPr>
        <w:spacing w:after="160" w:line="259" w:lineRule="auto"/>
        <w:jc w:val="left"/>
        <w:rPr>
          <w:b/>
          <w:bCs/>
          <w:noProof/>
          <w:szCs w:val="24"/>
        </w:rPr>
      </w:pPr>
      <w:r>
        <w:rPr>
          <w:noProof/>
        </w:rPr>
        <w:br w:type="page"/>
      </w:r>
    </w:p>
    <w:p w:rsidR="00F8725A" w:rsidRDefault="00BE7D43">
      <w:pPr>
        <w:spacing w:after="0"/>
        <w:textAlignment w:val="baseline"/>
        <w:rPr>
          <w:b/>
          <w:bCs/>
          <w:noProof/>
          <w:szCs w:val="24"/>
        </w:rPr>
      </w:pPr>
      <w:r>
        <w:rPr>
          <w:b/>
          <w:bCs/>
          <w:noProof/>
          <w:szCs w:val="24"/>
        </w:rPr>
        <w:t>Annexe 14.8: promotions «première filière» – Comité des régions</w:t>
      </w:r>
    </w:p>
    <w:p w:rsidR="00F8725A" w:rsidRDefault="00F8725A">
      <w:pPr>
        <w:spacing w:after="0"/>
        <w:textAlignment w:val="baseline"/>
        <w:rPr>
          <w:b/>
          <w:bCs/>
          <w:noProof/>
          <w:szCs w:val="24"/>
          <w:lang w:val="fr-BE"/>
        </w:rPr>
      </w:pPr>
    </w:p>
    <w:p w:rsidR="00F8725A" w:rsidRDefault="00BE7D43">
      <w:pPr>
        <w:spacing w:after="0"/>
        <w:textAlignment w:val="baseline"/>
        <w:rPr>
          <w:bCs/>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14.9: promotions «première filière» – Médiateur européen</w:t>
      </w:r>
    </w:p>
    <w:p w:rsidR="00F8725A" w:rsidRDefault="00F8725A">
      <w:pPr>
        <w:spacing w:after="0"/>
        <w:textAlignment w:val="baseline"/>
        <w:rPr>
          <w:b/>
          <w:bCs/>
          <w:noProof/>
          <w:szCs w:val="24"/>
          <w:lang w:val="fr-BE"/>
        </w:rPr>
      </w:pPr>
    </w:p>
    <w:p w:rsidR="00F8725A" w:rsidRDefault="00BE7D43">
      <w:pPr>
        <w:spacing w:after="0"/>
        <w:textAlignment w:val="baseline"/>
        <w:rPr>
          <w:bCs/>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 xml:space="preserve">Annexe 14.10: promotions «première filière» – Contrôleur européen de la protection des données </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14.11: promotions «première filière» – Conseil de résolution unique</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899"/>
        <w:gridCol w:w="2394"/>
        <w:gridCol w:w="1176"/>
        <w:gridCol w:w="752"/>
        <w:gridCol w:w="752"/>
        <w:gridCol w:w="752"/>
        <w:gridCol w:w="839"/>
        <w:gridCol w:w="839"/>
        <w:gridCol w:w="839"/>
      </w:tblGrid>
      <w:tr w:rsidR="00F8725A">
        <w:trPr>
          <w:trHeight w:val="300"/>
        </w:trPr>
        <w:tc>
          <w:tcPr>
            <w:tcW w:w="486"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295"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63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07"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07"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07"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54"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54"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54"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86"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29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63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07" w:type="pct"/>
            <w:tcBorders>
              <w:top w:val="nil"/>
              <w:left w:val="nil"/>
              <w:bottom w:val="single" w:sz="4" w:space="0" w:color="D9E1F2"/>
              <w:right w:val="nil"/>
            </w:tcBorders>
            <w:shd w:val="clear" w:color="B4C6E7" w:fill="B4C6E7"/>
            <w:noWrap/>
            <w:vAlign w:val="bottom"/>
            <w:hideMark/>
          </w:tcPr>
          <w:p w:rsidR="00F8725A" w:rsidRDefault="00F8725A">
            <w:pPr>
              <w:spacing w:after="0"/>
              <w:jc w:val="left"/>
              <w:rPr>
                <w:rFonts w:ascii="Calibri" w:hAnsi="Calibri" w:cs="Calibri"/>
                <w:noProof/>
                <w:color w:val="000000"/>
                <w:sz w:val="22"/>
                <w:szCs w:val="22"/>
                <w:lang w:val="en-IE" w:eastAsia="en-IE"/>
              </w:rPr>
            </w:pPr>
          </w:p>
        </w:tc>
        <w:tc>
          <w:tcPr>
            <w:tcW w:w="407" w:type="pct"/>
            <w:tcBorders>
              <w:top w:val="nil"/>
              <w:left w:val="nil"/>
              <w:bottom w:val="single" w:sz="4" w:space="0" w:color="D9E1F2"/>
              <w:right w:val="nil"/>
            </w:tcBorders>
            <w:shd w:val="clear" w:color="B4C6E7" w:fill="B4C6E7"/>
            <w:noWrap/>
            <w:vAlign w:val="bottom"/>
            <w:hideMark/>
          </w:tcPr>
          <w:p w:rsidR="00F8725A" w:rsidRDefault="00F8725A">
            <w:pPr>
              <w:spacing w:after="0"/>
              <w:jc w:val="left"/>
              <w:rPr>
                <w:noProof/>
                <w:sz w:val="20"/>
                <w:lang w:val="en-IE" w:eastAsia="en-IE"/>
              </w:rPr>
            </w:pPr>
          </w:p>
        </w:tc>
        <w:tc>
          <w:tcPr>
            <w:tcW w:w="407" w:type="pct"/>
            <w:tcBorders>
              <w:top w:val="nil"/>
              <w:left w:val="nil"/>
              <w:bottom w:val="single" w:sz="4" w:space="0" w:color="D9E1F2"/>
              <w:right w:val="nil"/>
            </w:tcBorders>
            <w:shd w:val="clear" w:color="B4C6E7" w:fill="B4C6E7"/>
            <w:noWrap/>
            <w:vAlign w:val="bottom"/>
            <w:hideMark/>
          </w:tcPr>
          <w:p w:rsidR="00F8725A" w:rsidRDefault="00F8725A">
            <w:pPr>
              <w:spacing w:after="0"/>
              <w:jc w:val="left"/>
              <w:rPr>
                <w:noProof/>
                <w:sz w:val="20"/>
                <w:lang w:val="en-IE" w:eastAsia="en-IE"/>
              </w:rPr>
            </w:pPr>
          </w:p>
        </w:tc>
        <w:tc>
          <w:tcPr>
            <w:tcW w:w="45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5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5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85"/>
        </w:trPr>
        <w:tc>
          <w:tcPr>
            <w:tcW w:w="486"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295"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636"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07" w:type="pct"/>
            <w:tcBorders>
              <w:top w:val="single" w:sz="4" w:space="0" w:color="D9E1F2"/>
              <w:left w:val="nil"/>
              <w:bottom w:val="single" w:sz="4" w:space="0" w:color="D9E1F2"/>
              <w:right w:val="nil"/>
            </w:tcBorders>
            <w:shd w:val="clear" w:color="8EA9DB" w:fill="8EA9DB"/>
            <w:noWrap/>
            <w:vAlign w:val="bottom"/>
            <w:hideMark/>
          </w:tcPr>
          <w:p w:rsidR="00F8725A" w:rsidRDefault="00F8725A">
            <w:pPr>
              <w:spacing w:after="0"/>
              <w:jc w:val="left"/>
              <w:rPr>
                <w:rFonts w:ascii="Calibri" w:hAnsi="Calibri" w:cs="Calibri"/>
                <w:noProof/>
                <w:color w:val="000000"/>
                <w:sz w:val="22"/>
                <w:szCs w:val="22"/>
                <w:lang w:val="en-IE" w:eastAsia="en-IE"/>
              </w:rPr>
            </w:pPr>
          </w:p>
        </w:tc>
        <w:tc>
          <w:tcPr>
            <w:tcW w:w="407" w:type="pct"/>
            <w:tcBorders>
              <w:top w:val="single" w:sz="4" w:space="0" w:color="D9E1F2"/>
              <w:left w:val="nil"/>
              <w:bottom w:val="single" w:sz="4" w:space="0" w:color="D9E1F2"/>
              <w:right w:val="nil"/>
            </w:tcBorders>
            <w:shd w:val="clear" w:color="8EA9DB" w:fill="8EA9DB"/>
            <w:noWrap/>
            <w:vAlign w:val="bottom"/>
            <w:hideMark/>
          </w:tcPr>
          <w:p w:rsidR="00F8725A" w:rsidRDefault="00F8725A">
            <w:pPr>
              <w:spacing w:after="0"/>
              <w:jc w:val="left"/>
              <w:rPr>
                <w:noProof/>
                <w:sz w:val="20"/>
                <w:lang w:val="en-IE" w:eastAsia="en-IE"/>
              </w:rPr>
            </w:pPr>
          </w:p>
        </w:tc>
        <w:tc>
          <w:tcPr>
            <w:tcW w:w="407" w:type="pct"/>
            <w:tcBorders>
              <w:top w:val="single" w:sz="4" w:space="0" w:color="D9E1F2"/>
              <w:left w:val="nil"/>
              <w:bottom w:val="single" w:sz="4" w:space="0" w:color="D9E1F2"/>
              <w:right w:val="nil"/>
            </w:tcBorders>
            <w:shd w:val="clear" w:color="8EA9DB" w:fill="8EA9DB"/>
            <w:noWrap/>
            <w:vAlign w:val="bottom"/>
            <w:hideMark/>
          </w:tcPr>
          <w:p w:rsidR="00F8725A" w:rsidRDefault="00F8725A">
            <w:pPr>
              <w:spacing w:after="0"/>
              <w:jc w:val="left"/>
              <w:rPr>
                <w:noProof/>
                <w:sz w:val="20"/>
                <w:lang w:val="en-IE" w:eastAsia="en-IE"/>
              </w:rPr>
            </w:pPr>
          </w:p>
        </w:tc>
        <w:tc>
          <w:tcPr>
            <w:tcW w:w="45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54"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54"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85"/>
        </w:trPr>
        <w:tc>
          <w:tcPr>
            <w:tcW w:w="486"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sz w:val="22"/>
                <w:szCs w:val="22"/>
                <w:lang w:val="en-IE" w:eastAsia="en-IE"/>
              </w:rPr>
            </w:pPr>
          </w:p>
        </w:tc>
        <w:tc>
          <w:tcPr>
            <w:tcW w:w="1295"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636"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07"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07"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07"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54"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54"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54"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14.12: promotions «première filière» – Entreprise commune SESAR</w:t>
      </w:r>
    </w:p>
    <w:p w:rsidR="00F8725A" w:rsidRDefault="00F8725A">
      <w:pPr>
        <w:spacing w:after="0"/>
        <w:textAlignment w:val="baseline"/>
        <w:rPr>
          <w:b/>
          <w:bCs/>
          <w:noProof/>
          <w:szCs w:val="24"/>
          <w:lang w:val="fr-BE"/>
        </w:rPr>
      </w:pPr>
    </w:p>
    <w:p w:rsidR="00F8725A" w:rsidRDefault="00BE7D43">
      <w:pPr>
        <w:spacing w:after="0"/>
        <w:textAlignment w:val="baseline"/>
        <w:rPr>
          <w:bCs/>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14.13: promotions «première filière» – Entreprise commune Shift2Rail</w:t>
      </w:r>
    </w:p>
    <w:p w:rsidR="00F8725A" w:rsidRDefault="00F8725A">
      <w:pPr>
        <w:spacing w:after="0"/>
        <w:textAlignment w:val="baseline"/>
        <w:rPr>
          <w:b/>
          <w:bCs/>
          <w:noProof/>
          <w:szCs w:val="24"/>
          <w:lang w:val="fr-BE"/>
        </w:rPr>
      </w:pPr>
    </w:p>
    <w:p w:rsidR="00F8725A" w:rsidRDefault="00BE7D43">
      <w:pPr>
        <w:spacing w:after="0"/>
        <w:textAlignment w:val="baseline"/>
        <w:rPr>
          <w:bCs/>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14.14: promotions «première filière» – Entreprise commune pour la mise en œuvre de l’initiative technologique conjointe en matière de médicaments innovants</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890"/>
        <w:gridCol w:w="2319"/>
        <w:gridCol w:w="1130"/>
        <w:gridCol w:w="818"/>
        <w:gridCol w:w="817"/>
        <w:gridCol w:w="817"/>
        <w:gridCol w:w="817"/>
        <w:gridCol w:w="817"/>
        <w:gridCol w:w="817"/>
      </w:tblGrid>
      <w:tr w:rsidR="00F8725A">
        <w:trPr>
          <w:trHeight w:val="300"/>
        </w:trPr>
        <w:tc>
          <w:tcPr>
            <w:tcW w:w="481"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253"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61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42"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42"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42"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42"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42"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42"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2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61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253"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611"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85"/>
        </w:trPr>
        <w:tc>
          <w:tcPr>
            <w:tcW w:w="481"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sz w:val="22"/>
                <w:szCs w:val="22"/>
                <w:lang w:val="en-IE" w:eastAsia="en-IE"/>
              </w:rPr>
            </w:pPr>
          </w:p>
        </w:tc>
        <w:tc>
          <w:tcPr>
            <w:tcW w:w="1253"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611"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14.15: promotions «première filière» – Agence du GNSS européen</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787"/>
        <w:gridCol w:w="2119"/>
        <w:gridCol w:w="1013"/>
        <w:gridCol w:w="663"/>
        <w:gridCol w:w="703"/>
        <w:gridCol w:w="703"/>
        <w:gridCol w:w="703"/>
        <w:gridCol w:w="924"/>
        <w:gridCol w:w="703"/>
        <w:gridCol w:w="924"/>
      </w:tblGrid>
      <w:tr w:rsidR="00F8725A">
        <w:trPr>
          <w:trHeight w:val="300"/>
        </w:trPr>
        <w:tc>
          <w:tcPr>
            <w:tcW w:w="450"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171"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572"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341"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370"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370"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370"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93"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370"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93"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17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57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341" w:type="pct"/>
            <w:tcBorders>
              <w:top w:val="nil"/>
              <w:left w:val="nil"/>
              <w:bottom w:val="single" w:sz="4" w:space="0" w:color="D9E1F2"/>
              <w:right w:val="nil"/>
            </w:tcBorders>
            <w:shd w:val="clear" w:color="B4C6E7" w:fill="B4C6E7"/>
            <w:noWrap/>
            <w:vAlign w:val="bottom"/>
            <w:hideMark/>
          </w:tcPr>
          <w:p w:rsidR="00F8725A" w:rsidRDefault="00F8725A">
            <w:pPr>
              <w:spacing w:after="0"/>
              <w:jc w:val="left"/>
              <w:rPr>
                <w:rFonts w:ascii="Calibri" w:hAnsi="Calibri" w:cs="Calibri"/>
                <w:noProof/>
                <w:color w:val="000000"/>
                <w:sz w:val="22"/>
                <w:szCs w:val="22"/>
                <w:lang w:val="en-IE" w:eastAsia="en-IE"/>
              </w:rPr>
            </w:pPr>
          </w:p>
        </w:tc>
        <w:tc>
          <w:tcPr>
            <w:tcW w:w="370" w:type="pct"/>
            <w:tcBorders>
              <w:top w:val="nil"/>
              <w:left w:val="nil"/>
              <w:bottom w:val="single" w:sz="4" w:space="0" w:color="D9E1F2"/>
              <w:right w:val="nil"/>
            </w:tcBorders>
            <w:shd w:val="clear" w:color="B4C6E7" w:fill="B4C6E7"/>
            <w:noWrap/>
            <w:vAlign w:val="bottom"/>
            <w:hideMark/>
          </w:tcPr>
          <w:p w:rsidR="00F8725A" w:rsidRDefault="00F8725A">
            <w:pPr>
              <w:spacing w:after="0"/>
              <w:jc w:val="left"/>
              <w:rPr>
                <w:noProof/>
                <w:sz w:val="20"/>
                <w:lang w:val="en-IE" w:eastAsia="en-IE"/>
              </w:rPr>
            </w:pPr>
          </w:p>
        </w:tc>
        <w:tc>
          <w:tcPr>
            <w:tcW w:w="370" w:type="pct"/>
            <w:tcBorders>
              <w:top w:val="nil"/>
              <w:left w:val="nil"/>
              <w:bottom w:val="single" w:sz="4" w:space="0" w:color="D9E1F2"/>
              <w:right w:val="nil"/>
            </w:tcBorders>
            <w:shd w:val="clear" w:color="B4C6E7" w:fill="B4C6E7"/>
            <w:noWrap/>
            <w:vAlign w:val="bottom"/>
            <w:hideMark/>
          </w:tcPr>
          <w:p w:rsidR="00F8725A" w:rsidRDefault="00F8725A">
            <w:pPr>
              <w:spacing w:after="0"/>
              <w:jc w:val="left"/>
              <w:rPr>
                <w:noProof/>
                <w:sz w:val="20"/>
                <w:lang w:val="en-IE" w:eastAsia="en-IE"/>
              </w:rPr>
            </w:pPr>
          </w:p>
        </w:tc>
        <w:tc>
          <w:tcPr>
            <w:tcW w:w="370" w:type="pct"/>
            <w:tcBorders>
              <w:top w:val="nil"/>
              <w:left w:val="nil"/>
              <w:bottom w:val="single" w:sz="4" w:space="0" w:color="D9E1F2"/>
              <w:right w:val="nil"/>
            </w:tcBorders>
            <w:shd w:val="clear" w:color="B4C6E7" w:fill="B4C6E7"/>
            <w:noWrap/>
            <w:vAlign w:val="bottom"/>
            <w:hideMark/>
          </w:tcPr>
          <w:p w:rsidR="00F8725A" w:rsidRDefault="00F8725A">
            <w:pPr>
              <w:spacing w:after="0"/>
              <w:jc w:val="left"/>
              <w:rPr>
                <w:noProof/>
                <w:sz w:val="20"/>
                <w:lang w:val="en-IE" w:eastAsia="en-IE"/>
              </w:rPr>
            </w:pPr>
          </w:p>
        </w:tc>
        <w:tc>
          <w:tcPr>
            <w:tcW w:w="4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370" w:type="pct"/>
            <w:tcBorders>
              <w:top w:val="nil"/>
              <w:left w:val="nil"/>
              <w:bottom w:val="single" w:sz="4" w:space="0" w:color="D9E1F2"/>
              <w:right w:val="nil"/>
            </w:tcBorders>
            <w:shd w:val="clear" w:color="B4C6E7" w:fill="B4C6E7"/>
            <w:noWrap/>
            <w:vAlign w:val="bottom"/>
            <w:hideMark/>
          </w:tcPr>
          <w:p w:rsidR="00F8725A" w:rsidRDefault="00F8725A">
            <w:pPr>
              <w:spacing w:after="0"/>
              <w:jc w:val="right"/>
              <w:rPr>
                <w:rFonts w:ascii="Calibri" w:hAnsi="Calibri" w:cs="Calibri"/>
                <w:noProof/>
                <w:color w:val="000000"/>
                <w:sz w:val="22"/>
                <w:szCs w:val="22"/>
                <w:lang w:val="en-IE" w:eastAsia="en-IE"/>
              </w:rPr>
            </w:pPr>
          </w:p>
        </w:tc>
        <w:tc>
          <w:tcPr>
            <w:tcW w:w="4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85"/>
        </w:trPr>
        <w:tc>
          <w:tcPr>
            <w:tcW w:w="4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171"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57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341" w:type="pct"/>
            <w:tcBorders>
              <w:top w:val="single" w:sz="4" w:space="0" w:color="D9E1F2"/>
              <w:left w:val="nil"/>
              <w:bottom w:val="single" w:sz="4" w:space="0" w:color="D9E1F2"/>
              <w:right w:val="nil"/>
            </w:tcBorders>
            <w:shd w:val="clear" w:color="8EA9DB" w:fill="8EA9DB"/>
            <w:noWrap/>
            <w:vAlign w:val="bottom"/>
            <w:hideMark/>
          </w:tcPr>
          <w:p w:rsidR="00F8725A" w:rsidRDefault="00F8725A">
            <w:pPr>
              <w:spacing w:after="0"/>
              <w:jc w:val="left"/>
              <w:rPr>
                <w:rFonts w:ascii="Calibri" w:hAnsi="Calibri" w:cs="Calibri"/>
                <w:noProof/>
                <w:color w:val="000000"/>
                <w:sz w:val="22"/>
                <w:szCs w:val="22"/>
                <w:lang w:val="en-IE" w:eastAsia="en-IE"/>
              </w:rPr>
            </w:pPr>
          </w:p>
        </w:tc>
        <w:tc>
          <w:tcPr>
            <w:tcW w:w="370" w:type="pct"/>
            <w:tcBorders>
              <w:top w:val="single" w:sz="4" w:space="0" w:color="D9E1F2"/>
              <w:left w:val="nil"/>
              <w:bottom w:val="single" w:sz="4" w:space="0" w:color="D9E1F2"/>
              <w:right w:val="nil"/>
            </w:tcBorders>
            <w:shd w:val="clear" w:color="8EA9DB" w:fill="8EA9DB"/>
            <w:noWrap/>
            <w:vAlign w:val="bottom"/>
            <w:hideMark/>
          </w:tcPr>
          <w:p w:rsidR="00F8725A" w:rsidRDefault="00F8725A">
            <w:pPr>
              <w:spacing w:after="0"/>
              <w:jc w:val="left"/>
              <w:rPr>
                <w:noProof/>
                <w:sz w:val="20"/>
                <w:lang w:val="en-IE" w:eastAsia="en-IE"/>
              </w:rPr>
            </w:pPr>
          </w:p>
        </w:tc>
        <w:tc>
          <w:tcPr>
            <w:tcW w:w="370" w:type="pct"/>
            <w:tcBorders>
              <w:top w:val="single" w:sz="4" w:space="0" w:color="D9E1F2"/>
              <w:left w:val="nil"/>
              <w:bottom w:val="single" w:sz="4" w:space="0" w:color="D9E1F2"/>
              <w:right w:val="nil"/>
            </w:tcBorders>
            <w:shd w:val="clear" w:color="8EA9DB" w:fill="8EA9DB"/>
            <w:noWrap/>
            <w:vAlign w:val="bottom"/>
            <w:hideMark/>
          </w:tcPr>
          <w:p w:rsidR="00F8725A" w:rsidRDefault="00F8725A">
            <w:pPr>
              <w:spacing w:after="0"/>
              <w:jc w:val="left"/>
              <w:rPr>
                <w:noProof/>
                <w:sz w:val="20"/>
                <w:lang w:val="en-IE" w:eastAsia="en-IE"/>
              </w:rPr>
            </w:pPr>
          </w:p>
        </w:tc>
        <w:tc>
          <w:tcPr>
            <w:tcW w:w="370" w:type="pct"/>
            <w:tcBorders>
              <w:top w:val="single" w:sz="4" w:space="0" w:color="D9E1F2"/>
              <w:left w:val="nil"/>
              <w:bottom w:val="single" w:sz="4" w:space="0" w:color="D9E1F2"/>
              <w:right w:val="nil"/>
            </w:tcBorders>
            <w:shd w:val="clear" w:color="8EA9DB" w:fill="8EA9DB"/>
            <w:noWrap/>
            <w:vAlign w:val="bottom"/>
            <w:hideMark/>
          </w:tcPr>
          <w:p w:rsidR="00F8725A" w:rsidRDefault="00F8725A">
            <w:pPr>
              <w:spacing w:after="0"/>
              <w:jc w:val="left"/>
              <w:rPr>
                <w:noProof/>
                <w:sz w:val="20"/>
                <w:lang w:val="en-IE" w:eastAsia="en-IE"/>
              </w:rPr>
            </w:pPr>
          </w:p>
        </w:tc>
        <w:tc>
          <w:tcPr>
            <w:tcW w:w="493" w:type="pct"/>
            <w:tcBorders>
              <w:top w:val="single" w:sz="4" w:space="0" w:color="D9E1F2"/>
              <w:left w:val="nil"/>
              <w:bottom w:val="single" w:sz="4" w:space="0" w:color="D9E1F2"/>
              <w:right w:val="nil"/>
            </w:tcBorders>
            <w:shd w:val="clear" w:color="8EA9DB" w:fill="8EA9DB"/>
            <w:noWrap/>
            <w:vAlign w:val="bottom"/>
            <w:hideMark/>
          </w:tcPr>
          <w:p w:rsidR="00F8725A" w:rsidRDefault="00F8725A">
            <w:pPr>
              <w:spacing w:after="0"/>
              <w:jc w:val="left"/>
              <w:rPr>
                <w:noProof/>
                <w:sz w:val="20"/>
                <w:lang w:val="en-IE" w:eastAsia="en-IE"/>
              </w:rPr>
            </w:pPr>
          </w:p>
        </w:tc>
        <w:tc>
          <w:tcPr>
            <w:tcW w:w="370" w:type="pct"/>
            <w:tcBorders>
              <w:top w:val="single" w:sz="4" w:space="0" w:color="D9E1F2"/>
              <w:left w:val="nil"/>
              <w:bottom w:val="single" w:sz="4" w:space="0" w:color="D9E1F2"/>
              <w:right w:val="nil"/>
            </w:tcBorders>
            <w:shd w:val="clear" w:color="8EA9DB" w:fill="8EA9DB"/>
            <w:noWrap/>
            <w:vAlign w:val="bottom"/>
            <w:hideMark/>
          </w:tcPr>
          <w:p w:rsidR="00F8725A" w:rsidRDefault="00F8725A">
            <w:pPr>
              <w:spacing w:after="0"/>
              <w:jc w:val="left"/>
              <w:rPr>
                <w:noProof/>
                <w:sz w:val="20"/>
                <w:lang w:val="en-IE" w:eastAsia="en-IE"/>
              </w:rPr>
            </w:pPr>
          </w:p>
        </w:tc>
        <w:tc>
          <w:tcPr>
            <w:tcW w:w="493" w:type="pct"/>
            <w:tcBorders>
              <w:top w:val="single" w:sz="4" w:space="0" w:color="D9E1F2"/>
              <w:left w:val="nil"/>
              <w:bottom w:val="single" w:sz="4" w:space="0" w:color="D9E1F2"/>
              <w:right w:val="nil"/>
            </w:tcBorders>
            <w:shd w:val="clear" w:color="8EA9DB" w:fill="8EA9DB"/>
            <w:noWrap/>
            <w:vAlign w:val="bottom"/>
            <w:hideMark/>
          </w:tcPr>
          <w:p w:rsidR="00F8725A" w:rsidRDefault="00F8725A">
            <w:pPr>
              <w:spacing w:after="0"/>
              <w:jc w:val="left"/>
              <w:rPr>
                <w:noProof/>
                <w:sz w:val="20"/>
                <w:lang w:val="en-IE" w:eastAsia="en-IE"/>
              </w:rPr>
            </w:pPr>
          </w:p>
        </w:tc>
      </w:tr>
      <w:tr w:rsidR="00F8725A">
        <w:trPr>
          <w:trHeight w:val="285"/>
        </w:trPr>
        <w:tc>
          <w:tcPr>
            <w:tcW w:w="450"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1171"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57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341"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370"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370"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370"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93"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370"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93"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BE7D43">
      <w:pPr>
        <w:spacing w:after="160" w:line="259" w:lineRule="auto"/>
        <w:jc w:val="left"/>
        <w:rPr>
          <w:b/>
          <w:bCs/>
          <w:noProof/>
          <w:szCs w:val="24"/>
        </w:rPr>
      </w:pPr>
      <w:r>
        <w:rPr>
          <w:b/>
          <w:bCs/>
          <w:noProof/>
          <w:szCs w:val="24"/>
        </w:rPr>
        <w:br w:type="page"/>
      </w:r>
    </w:p>
    <w:p w:rsidR="00F8725A" w:rsidRDefault="00BE7D43">
      <w:pPr>
        <w:spacing w:after="0"/>
        <w:textAlignment w:val="baseline"/>
        <w:rPr>
          <w:b/>
          <w:bCs/>
          <w:noProof/>
          <w:szCs w:val="24"/>
        </w:rPr>
      </w:pPr>
      <w:r>
        <w:rPr>
          <w:b/>
          <w:bCs/>
          <w:noProof/>
          <w:szCs w:val="24"/>
        </w:rPr>
        <w:t>Annexe 14.16: promotions «première filière» – Frontex</w:t>
      </w:r>
    </w:p>
    <w:p w:rsidR="00F8725A" w:rsidRDefault="00F8725A">
      <w:pPr>
        <w:spacing w:after="0"/>
        <w:textAlignment w:val="baseline"/>
        <w:rPr>
          <w:noProof/>
          <w:szCs w:val="24"/>
          <w:lang w:val="en-I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14.17: promotions «première filière» – Agence des droits fondamentaux de l’Union européenne</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14.18: promotions «première filière»</w:t>
      </w:r>
      <w:r>
        <w:rPr>
          <w:noProof/>
        </w:rPr>
        <w:t xml:space="preserve"> – </w:t>
      </w:r>
      <w:r>
        <w:rPr>
          <w:b/>
          <w:bCs/>
          <w:noProof/>
          <w:szCs w:val="24"/>
        </w:rPr>
        <w:t>Entreprise commune Piles à combustible et Hydrogène</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14.19: promotions «première filière»</w:t>
      </w:r>
      <w:r>
        <w:rPr>
          <w:noProof/>
        </w:rPr>
        <w:t xml:space="preserve"> – </w:t>
      </w:r>
      <w:r>
        <w:rPr>
          <w:b/>
          <w:bCs/>
          <w:noProof/>
          <w:szCs w:val="24"/>
        </w:rPr>
        <w:t>Fusion for Energy (ITER)</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14.20: promotions «première filière»</w:t>
      </w:r>
      <w:r>
        <w:rPr>
          <w:noProof/>
        </w:rPr>
        <w:t xml:space="preserve"> – </w:t>
      </w:r>
      <w:r>
        <w:rPr>
          <w:b/>
          <w:bCs/>
          <w:noProof/>
          <w:szCs w:val="24"/>
        </w:rPr>
        <w:t>Europol</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14.21: promotions «première filière»</w:t>
      </w:r>
      <w:r>
        <w:rPr>
          <w:noProof/>
        </w:rPr>
        <w:t xml:space="preserve"> – </w:t>
      </w:r>
      <w:r>
        <w:rPr>
          <w:b/>
          <w:bCs/>
          <w:noProof/>
          <w:szCs w:val="24"/>
        </w:rPr>
        <w:t>Eurojust</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14.22: promotions «première filière»</w:t>
      </w:r>
      <w:r>
        <w:rPr>
          <w:noProof/>
        </w:rPr>
        <w:t xml:space="preserve"> –</w:t>
      </w:r>
      <w:r>
        <w:rPr>
          <w:b/>
          <w:bCs/>
          <w:noProof/>
          <w:szCs w:val="24"/>
        </w:rPr>
        <w:t xml:space="preserve"> Eurofound – (Agents temporaires)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14.23: promotions «première filière»</w:t>
      </w:r>
      <w:r>
        <w:rPr>
          <w:noProof/>
        </w:rPr>
        <w:t xml:space="preserve"> –</w:t>
      </w:r>
      <w:r>
        <w:rPr>
          <w:b/>
          <w:bCs/>
          <w:noProof/>
          <w:szCs w:val="24"/>
        </w:rPr>
        <w:t xml:space="preserve"> Eurofound – (Fonctionnaires)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14.24: promotions «première filière»</w:t>
      </w:r>
      <w:r>
        <w:rPr>
          <w:noProof/>
        </w:rPr>
        <w:t xml:space="preserve"> – </w:t>
      </w:r>
      <w:r>
        <w:rPr>
          <w:b/>
          <w:bCs/>
          <w:noProof/>
          <w:szCs w:val="24"/>
        </w:rPr>
        <w:t>Agence européenne pour la sécurité et la santé au travail</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14.25: promotions «première filière» – Agence de l’Union européenne pour la gestion opérationnelle des systèmes d’information à grande échelle au sein de l’espace de liberté, de sécurité et de justice (eu-LISA)</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890"/>
        <w:gridCol w:w="2319"/>
        <w:gridCol w:w="1130"/>
        <w:gridCol w:w="818"/>
        <w:gridCol w:w="817"/>
        <w:gridCol w:w="817"/>
        <w:gridCol w:w="817"/>
        <w:gridCol w:w="817"/>
        <w:gridCol w:w="817"/>
      </w:tblGrid>
      <w:tr w:rsidR="00F8725A">
        <w:trPr>
          <w:trHeight w:val="300"/>
        </w:trPr>
        <w:tc>
          <w:tcPr>
            <w:tcW w:w="481"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253"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61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42"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42"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42"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42"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42"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42"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2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61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253"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611"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85"/>
        </w:trPr>
        <w:tc>
          <w:tcPr>
            <w:tcW w:w="481"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sz w:val="22"/>
                <w:szCs w:val="22"/>
                <w:lang w:val="en-IE" w:eastAsia="en-IE"/>
              </w:rPr>
            </w:pPr>
          </w:p>
        </w:tc>
        <w:tc>
          <w:tcPr>
            <w:tcW w:w="1253"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611"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BE7D43">
      <w:pPr>
        <w:spacing w:after="160" w:line="259" w:lineRule="auto"/>
        <w:jc w:val="left"/>
        <w:rPr>
          <w:b/>
          <w:bCs/>
          <w:noProof/>
          <w:szCs w:val="24"/>
        </w:rPr>
      </w:pPr>
      <w:r>
        <w:rPr>
          <w:noProof/>
        </w:rPr>
        <w:br w:type="page"/>
      </w:r>
    </w:p>
    <w:p w:rsidR="00F8725A" w:rsidRDefault="00BE7D43">
      <w:pPr>
        <w:spacing w:after="0"/>
        <w:textAlignment w:val="baseline"/>
        <w:rPr>
          <w:b/>
          <w:bCs/>
          <w:noProof/>
          <w:szCs w:val="24"/>
        </w:rPr>
      </w:pPr>
      <w:r>
        <w:rPr>
          <w:b/>
          <w:bCs/>
          <w:noProof/>
          <w:szCs w:val="24"/>
        </w:rPr>
        <w:t>Annexe 14.26: promotions «première filière» – Office de l’Union européenne pour la propriété intellectuelle – Agents temporaires</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788"/>
        <w:gridCol w:w="2042"/>
        <w:gridCol w:w="996"/>
        <w:gridCol w:w="904"/>
        <w:gridCol w:w="904"/>
        <w:gridCol w:w="904"/>
        <w:gridCol w:w="904"/>
        <w:gridCol w:w="904"/>
        <w:gridCol w:w="896"/>
      </w:tblGrid>
      <w:tr w:rsidR="00F8725A">
        <w:trPr>
          <w:trHeight w:val="300"/>
        </w:trPr>
        <w:tc>
          <w:tcPr>
            <w:tcW w:w="426"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105"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539"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89"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89"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89"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89"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89"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8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26"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10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53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8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48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48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48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48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48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85"/>
        </w:trPr>
        <w:tc>
          <w:tcPr>
            <w:tcW w:w="426"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105"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53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8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8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8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8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8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86"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85"/>
        </w:trPr>
        <w:tc>
          <w:tcPr>
            <w:tcW w:w="426"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sz w:val="22"/>
                <w:szCs w:val="22"/>
                <w:lang w:val="en-IE" w:eastAsia="en-IE"/>
              </w:rPr>
            </w:pPr>
          </w:p>
        </w:tc>
        <w:tc>
          <w:tcPr>
            <w:tcW w:w="1105"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53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8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8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8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8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8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86"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 xml:space="preserve">Annexe 14.27: promotions «première filière» – Office de l’Union européenne pour la propriété intellectuelle – Fonctionnaires </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780"/>
        <w:gridCol w:w="2036"/>
        <w:gridCol w:w="990"/>
        <w:gridCol w:w="898"/>
        <w:gridCol w:w="924"/>
        <w:gridCol w:w="898"/>
        <w:gridCol w:w="924"/>
        <w:gridCol w:w="899"/>
        <w:gridCol w:w="893"/>
      </w:tblGrid>
      <w:tr w:rsidR="00F8725A">
        <w:trPr>
          <w:trHeight w:val="300"/>
        </w:trPr>
        <w:tc>
          <w:tcPr>
            <w:tcW w:w="425"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105"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539"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89"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89"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89"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89"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89"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89"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2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10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53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8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48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48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48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48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48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85"/>
        </w:trPr>
        <w:tc>
          <w:tcPr>
            <w:tcW w:w="42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105"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53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8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8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11,76 %</w:t>
            </w:r>
          </w:p>
        </w:tc>
        <w:tc>
          <w:tcPr>
            <w:tcW w:w="48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7,69 %</w:t>
            </w:r>
          </w:p>
        </w:tc>
        <w:tc>
          <w:tcPr>
            <w:tcW w:w="48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11,76 %</w:t>
            </w:r>
          </w:p>
        </w:tc>
        <w:tc>
          <w:tcPr>
            <w:tcW w:w="48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3,77 %</w:t>
            </w:r>
          </w:p>
        </w:tc>
        <w:tc>
          <w:tcPr>
            <w:tcW w:w="48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5,17 %</w:t>
            </w:r>
          </w:p>
        </w:tc>
      </w:tr>
      <w:tr w:rsidR="00F8725A">
        <w:trPr>
          <w:trHeight w:val="285"/>
        </w:trPr>
        <w:tc>
          <w:tcPr>
            <w:tcW w:w="425"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sz w:val="22"/>
                <w:szCs w:val="22"/>
                <w:lang w:val="en-IE" w:eastAsia="en-IE"/>
              </w:rPr>
            </w:pPr>
          </w:p>
        </w:tc>
        <w:tc>
          <w:tcPr>
            <w:tcW w:w="1105"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53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8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8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8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8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8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8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14.28: promotions «première filière» – Fondation européenne pour la formation</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noProof/>
        </w:rPr>
        <w:t>s.o.</w:t>
      </w:r>
    </w:p>
    <w:p w:rsidR="00F8725A" w:rsidRDefault="00BE7D43">
      <w:pPr>
        <w:spacing w:after="0"/>
        <w:textAlignment w:val="baseline"/>
        <w:rPr>
          <w:b/>
          <w:bCs/>
          <w:noProof/>
          <w:szCs w:val="24"/>
        </w:rPr>
      </w:pPr>
      <w:r>
        <w:rPr>
          <w:b/>
          <w:bCs/>
          <w:noProof/>
          <w:szCs w:val="24"/>
        </w:rPr>
        <w:t>Annexe 14.29: promotions «première filière» – Autorité européenne des marchés financiers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14.30: promotions «première filière» – Agence de l’Union européenne pour les chemins de fer</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14.31: promotions «première filière» – Agence de l’Union européenne pour la cybersécurité (ENISA)</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890"/>
        <w:gridCol w:w="2319"/>
        <w:gridCol w:w="1130"/>
        <w:gridCol w:w="818"/>
        <w:gridCol w:w="817"/>
        <w:gridCol w:w="817"/>
        <w:gridCol w:w="817"/>
        <w:gridCol w:w="817"/>
        <w:gridCol w:w="817"/>
      </w:tblGrid>
      <w:tr w:rsidR="00F8725A">
        <w:trPr>
          <w:trHeight w:val="300"/>
        </w:trPr>
        <w:tc>
          <w:tcPr>
            <w:tcW w:w="481"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253"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61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42"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42"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42"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42"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42"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42"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2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61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253"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611"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85"/>
        </w:trPr>
        <w:tc>
          <w:tcPr>
            <w:tcW w:w="481"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sz w:val="22"/>
                <w:szCs w:val="22"/>
                <w:lang w:val="en-IE" w:eastAsia="en-IE"/>
              </w:rPr>
            </w:pPr>
          </w:p>
        </w:tc>
        <w:tc>
          <w:tcPr>
            <w:tcW w:w="1253"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611"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14.32: promotions «première filière» – Agence européenne pour la sécurité maritime (AESM) – Agents temporaires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160" w:line="259" w:lineRule="auto"/>
        <w:jc w:val="left"/>
        <w:rPr>
          <w:b/>
          <w:bCs/>
          <w:noProof/>
          <w:szCs w:val="24"/>
        </w:rPr>
      </w:pPr>
      <w:r>
        <w:rPr>
          <w:noProof/>
        </w:rPr>
        <w:br w:type="page"/>
      </w:r>
    </w:p>
    <w:p w:rsidR="00F8725A" w:rsidRDefault="00BE7D43">
      <w:pPr>
        <w:spacing w:after="0"/>
        <w:textAlignment w:val="baseline"/>
        <w:rPr>
          <w:b/>
          <w:bCs/>
          <w:noProof/>
          <w:szCs w:val="24"/>
        </w:rPr>
      </w:pPr>
      <w:r>
        <w:rPr>
          <w:b/>
          <w:bCs/>
          <w:noProof/>
          <w:szCs w:val="24"/>
        </w:rPr>
        <w:t>Annexe 14.33: promotions «première filière» – Agence européenne pour la sécurité maritime (AESM) – Fonctionnaires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14.34: promotions «première filière» – Observatoire européen des drogues et des toxicomanies – Agents temporaires</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890"/>
        <w:gridCol w:w="2319"/>
        <w:gridCol w:w="1130"/>
        <w:gridCol w:w="818"/>
        <w:gridCol w:w="817"/>
        <w:gridCol w:w="817"/>
        <w:gridCol w:w="817"/>
        <w:gridCol w:w="817"/>
        <w:gridCol w:w="817"/>
      </w:tblGrid>
      <w:tr w:rsidR="00F8725A">
        <w:trPr>
          <w:trHeight w:val="300"/>
        </w:trPr>
        <w:tc>
          <w:tcPr>
            <w:tcW w:w="481"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253"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61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42"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42"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42"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42"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42"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42"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2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61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253"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611"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85"/>
        </w:trPr>
        <w:tc>
          <w:tcPr>
            <w:tcW w:w="481"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sz w:val="22"/>
                <w:szCs w:val="22"/>
                <w:lang w:val="en-IE" w:eastAsia="en-IE"/>
              </w:rPr>
            </w:pPr>
          </w:p>
        </w:tc>
        <w:tc>
          <w:tcPr>
            <w:tcW w:w="1253"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611"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 xml:space="preserve">Annexe 14.35: promotions «première filière» – Observatoire européen des drogues et des toxicomanies – Fonctionnaires </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890"/>
        <w:gridCol w:w="2319"/>
        <w:gridCol w:w="1130"/>
        <w:gridCol w:w="818"/>
        <w:gridCol w:w="817"/>
        <w:gridCol w:w="817"/>
        <w:gridCol w:w="817"/>
        <w:gridCol w:w="817"/>
        <w:gridCol w:w="817"/>
      </w:tblGrid>
      <w:tr w:rsidR="00F8725A">
        <w:trPr>
          <w:trHeight w:val="300"/>
        </w:trPr>
        <w:tc>
          <w:tcPr>
            <w:tcW w:w="481"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253"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61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42"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42"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42"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42"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42"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42"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2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61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253"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611"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85"/>
        </w:trPr>
        <w:tc>
          <w:tcPr>
            <w:tcW w:w="481"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sz w:val="22"/>
                <w:szCs w:val="22"/>
                <w:lang w:val="en-IE" w:eastAsia="en-IE"/>
              </w:rPr>
            </w:pPr>
          </w:p>
        </w:tc>
        <w:tc>
          <w:tcPr>
            <w:tcW w:w="1253"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611"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14.36: promotions «première filière» – Agence européenne des médicaments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14.37: promotions «première filière» – Institut européen d’innovation et de technologie</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14.38: promotions «première filière» – Autorité européenne des assurances et des pensions professionnelles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14.39: promotions «première filière» – Institut européen pour l’égalité entre les hommes et les femmes</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890"/>
        <w:gridCol w:w="2319"/>
        <w:gridCol w:w="1130"/>
        <w:gridCol w:w="818"/>
        <w:gridCol w:w="817"/>
        <w:gridCol w:w="817"/>
        <w:gridCol w:w="817"/>
        <w:gridCol w:w="817"/>
        <w:gridCol w:w="817"/>
      </w:tblGrid>
      <w:tr w:rsidR="00F8725A">
        <w:trPr>
          <w:trHeight w:val="300"/>
        </w:trPr>
        <w:tc>
          <w:tcPr>
            <w:tcW w:w="481"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253"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61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42"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42"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42"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42"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42"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42"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2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61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253"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611"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85"/>
        </w:trPr>
        <w:tc>
          <w:tcPr>
            <w:tcW w:w="481"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sz w:val="22"/>
                <w:szCs w:val="22"/>
                <w:lang w:val="en-IE" w:eastAsia="en-IE"/>
              </w:rPr>
            </w:pPr>
          </w:p>
        </w:tc>
        <w:tc>
          <w:tcPr>
            <w:tcW w:w="1253"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611"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14.40: promotions «première filière» – Autorité européenne de sécurité des aliments – Agents temporaires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BE7D43">
      <w:pPr>
        <w:spacing w:after="0"/>
        <w:textAlignment w:val="baseline"/>
        <w:rPr>
          <w:b/>
          <w:bCs/>
          <w:noProof/>
          <w:szCs w:val="24"/>
        </w:rPr>
      </w:pPr>
      <w:r>
        <w:rPr>
          <w:b/>
          <w:bCs/>
          <w:noProof/>
          <w:szCs w:val="24"/>
        </w:rPr>
        <w:t>Annexe 14.41: promotions «première filière» – Autorité européenne de sécurité des aliments – Fonctionnaires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14.42: promotions «première filière»</w:t>
      </w:r>
      <w:r>
        <w:rPr>
          <w:noProof/>
        </w:rPr>
        <w:t xml:space="preserve"> – </w:t>
      </w:r>
      <w:r>
        <w:rPr>
          <w:b/>
          <w:bCs/>
          <w:noProof/>
          <w:szCs w:val="24"/>
        </w:rPr>
        <w:t>Agence européenne de contrôle des pêches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14.43: promotions «première filière»</w:t>
      </w:r>
      <w:r>
        <w:rPr>
          <w:noProof/>
        </w:rPr>
        <w:t xml:space="preserve"> –</w:t>
      </w:r>
      <w:r>
        <w:rPr>
          <w:b/>
          <w:bCs/>
          <w:noProof/>
          <w:szCs w:val="24"/>
        </w:rPr>
        <w:t xml:space="preserve"> Agence européenne pour l’environnement – Agents temporaires</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944"/>
        <w:gridCol w:w="2456"/>
        <w:gridCol w:w="1198"/>
        <w:gridCol w:w="774"/>
        <w:gridCol w:w="774"/>
        <w:gridCol w:w="774"/>
        <w:gridCol w:w="774"/>
        <w:gridCol w:w="774"/>
        <w:gridCol w:w="774"/>
      </w:tblGrid>
      <w:tr w:rsidR="00F8725A">
        <w:trPr>
          <w:trHeight w:val="300"/>
        </w:trPr>
        <w:tc>
          <w:tcPr>
            <w:tcW w:w="510"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328"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648"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19"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19"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19"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19"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19"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19"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51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32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64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r>
      <w:tr w:rsidR="00F8725A">
        <w:trPr>
          <w:trHeight w:val="285"/>
        </w:trPr>
        <w:tc>
          <w:tcPr>
            <w:tcW w:w="51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328"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648"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r>
      <w:tr w:rsidR="00F8725A">
        <w:trPr>
          <w:trHeight w:val="285"/>
        </w:trPr>
        <w:tc>
          <w:tcPr>
            <w:tcW w:w="510"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color w:val="000000"/>
                <w:sz w:val="22"/>
                <w:szCs w:val="22"/>
                <w:lang w:val="en-IE" w:eastAsia="en-IE"/>
              </w:rPr>
            </w:pPr>
          </w:p>
        </w:tc>
        <w:tc>
          <w:tcPr>
            <w:tcW w:w="1328"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648"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14.44: promotions «première filière»</w:t>
      </w:r>
      <w:r>
        <w:rPr>
          <w:noProof/>
        </w:rPr>
        <w:t xml:space="preserve"> – </w:t>
      </w:r>
      <w:r>
        <w:rPr>
          <w:b/>
          <w:bCs/>
          <w:noProof/>
          <w:szCs w:val="24"/>
        </w:rPr>
        <w:t>Agence européenne pour l’environnement — Fonctionnaires</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944"/>
        <w:gridCol w:w="2456"/>
        <w:gridCol w:w="1198"/>
        <w:gridCol w:w="774"/>
        <w:gridCol w:w="774"/>
        <w:gridCol w:w="774"/>
        <w:gridCol w:w="774"/>
        <w:gridCol w:w="774"/>
        <w:gridCol w:w="774"/>
      </w:tblGrid>
      <w:tr w:rsidR="00F8725A">
        <w:trPr>
          <w:trHeight w:val="300"/>
        </w:trPr>
        <w:tc>
          <w:tcPr>
            <w:tcW w:w="510"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328"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648"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19"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19"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19"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19"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19"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19"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51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32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64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r>
      <w:tr w:rsidR="00F8725A">
        <w:trPr>
          <w:trHeight w:val="285"/>
        </w:trPr>
        <w:tc>
          <w:tcPr>
            <w:tcW w:w="51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328"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648"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r>
      <w:tr w:rsidR="00F8725A">
        <w:trPr>
          <w:trHeight w:val="285"/>
        </w:trPr>
        <w:tc>
          <w:tcPr>
            <w:tcW w:w="510"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color w:val="000000"/>
                <w:sz w:val="22"/>
                <w:szCs w:val="22"/>
                <w:lang w:val="en-IE" w:eastAsia="en-IE"/>
              </w:rPr>
            </w:pPr>
          </w:p>
        </w:tc>
        <w:tc>
          <w:tcPr>
            <w:tcW w:w="1328"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648"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14.45: promotions «première filière»</w:t>
      </w:r>
      <w:r>
        <w:rPr>
          <w:noProof/>
        </w:rPr>
        <w:t xml:space="preserve"> – </w:t>
      </w:r>
      <w:r>
        <w:rPr>
          <w:b/>
          <w:bCs/>
          <w:noProof/>
          <w:szCs w:val="24"/>
        </w:rPr>
        <w:t xml:space="preserve">Entreprise commune Composants et systèmes électroniques pour un leadership européen </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14.46: promotions «première filière» – Agence européenne des produits chimiques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14.47: promotions «première filière» – Centre européen de prévention et de contrôle des maladies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14.48: promotions «première filière» – Autorité bancaire européenne</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160" w:line="259" w:lineRule="auto"/>
        <w:jc w:val="left"/>
        <w:rPr>
          <w:b/>
          <w:bCs/>
          <w:noProof/>
          <w:szCs w:val="24"/>
        </w:rPr>
      </w:pPr>
      <w:r>
        <w:rPr>
          <w:b/>
          <w:bCs/>
          <w:noProof/>
          <w:szCs w:val="24"/>
        </w:rPr>
        <w:br w:type="page"/>
      </w:r>
    </w:p>
    <w:p w:rsidR="00F8725A" w:rsidRDefault="00BE7D43">
      <w:pPr>
        <w:spacing w:after="0"/>
        <w:textAlignment w:val="baseline"/>
        <w:rPr>
          <w:b/>
          <w:bCs/>
          <w:noProof/>
          <w:szCs w:val="24"/>
        </w:rPr>
      </w:pPr>
      <w:r>
        <w:rPr>
          <w:b/>
          <w:bCs/>
          <w:noProof/>
          <w:szCs w:val="24"/>
        </w:rPr>
        <w:t>Annexe 14.49: promotions «première filière» – Bureau européen d’appui en matière d’asile</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14.50: promotions «première filière» – Agence de l’Union européenne pour la sécurité aérienne</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890"/>
        <w:gridCol w:w="2319"/>
        <w:gridCol w:w="1130"/>
        <w:gridCol w:w="818"/>
        <w:gridCol w:w="817"/>
        <w:gridCol w:w="817"/>
        <w:gridCol w:w="817"/>
        <w:gridCol w:w="817"/>
        <w:gridCol w:w="817"/>
      </w:tblGrid>
      <w:tr w:rsidR="00F8725A">
        <w:trPr>
          <w:trHeight w:val="300"/>
        </w:trPr>
        <w:tc>
          <w:tcPr>
            <w:tcW w:w="481"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253"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61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42"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42"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42"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42"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42"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42"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2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61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253"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611"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85"/>
        </w:trPr>
        <w:tc>
          <w:tcPr>
            <w:tcW w:w="481"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sz w:val="22"/>
                <w:szCs w:val="22"/>
                <w:lang w:val="en-IE" w:eastAsia="en-IE"/>
              </w:rPr>
            </w:pPr>
          </w:p>
        </w:tc>
        <w:tc>
          <w:tcPr>
            <w:tcW w:w="1253"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611"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14.51: promotions «première filière» – Entreprise commune Clean Sky</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14.52: promotions «première filière» – Office communautaire des variétés végétales – Agents temporaires</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815"/>
        <w:gridCol w:w="2171"/>
        <w:gridCol w:w="1045"/>
        <w:gridCol w:w="813"/>
        <w:gridCol w:w="813"/>
        <w:gridCol w:w="813"/>
        <w:gridCol w:w="924"/>
        <w:gridCol w:w="924"/>
        <w:gridCol w:w="924"/>
      </w:tblGrid>
      <w:tr w:rsidR="00F8725A">
        <w:trPr>
          <w:trHeight w:val="300"/>
        </w:trPr>
        <w:tc>
          <w:tcPr>
            <w:tcW w:w="458"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192"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582"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21"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21"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21"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02"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02"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02"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5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19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5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21"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21"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21"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0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0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0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85"/>
        </w:trPr>
        <w:tc>
          <w:tcPr>
            <w:tcW w:w="45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19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58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21"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21"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21"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0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0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0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r>
      <w:tr w:rsidR="00F8725A">
        <w:trPr>
          <w:trHeight w:val="285"/>
        </w:trPr>
        <w:tc>
          <w:tcPr>
            <w:tcW w:w="458"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color w:val="000000"/>
                <w:sz w:val="22"/>
                <w:szCs w:val="22"/>
                <w:lang w:val="en-IE" w:eastAsia="en-IE"/>
              </w:rPr>
            </w:pPr>
          </w:p>
        </w:tc>
        <w:tc>
          <w:tcPr>
            <w:tcW w:w="119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58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21"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21"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21"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50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50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50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14.53: promotions «première filière» – Office communautaire des variétés végétales – Fonctionnaires</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944"/>
        <w:gridCol w:w="2456"/>
        <w:gridCol w:w="1198"/>
        <w:gridCol w:w="774"/>
        <w:gridCol w:w="774"/>
        <w:gridCol w:w="774"/>
        <w:gridCol w:w="774"/>
        <w:gridCol w:w="774"/>
        <w:gridCol w:w="774"/>
      </w:tblGrid>
      <w:tr w:rsidR="00F8725A">
        <w:trPr>
          <w:trHeight w:val="300"/>
        </w:trPr>
        <w:tc>
          <w:tcPr>
            <w:tcW w:w="510"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328"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648"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19"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19"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19"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19"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19"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19"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51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32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64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r>
      <w:tr w:rsidR="00F8725A">
        <w:trPr>
          <w:trHeight w:val="285"/>
        </w:trPr>
        <w:tc>
          <w:tcPr>
            <w:tcW w:w="51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328"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648"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1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w:t>
            </w:r>
          </w:p>
        </w:tc>
        <w:tc>
          <w:tcPr>
            <w:tcW w:w="41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c>
          <w:tcPr>
            <w:tcW w:w="419"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w:t>
            </w:r>
          </w:p>
        </w:tc>
      </w:tr>
      <w:tr w:rsidR="00F8725A">
        <w:trPr>
          <w:trHeight w:val="285"/>
        </w:trPr>
        <w:tc>
          <w:tcPr>
            <w:tcW w:w="510"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color w:val="000000"/>
                <w:sz w:val="22"/>
                <w:szCs w:val="22"/>
                <w:lang w:val="en-IE" w:eastAsia="en-IE"/>
              </w:rPr>
            </w:pPr>
          </w:p>
        </w:tc>
        <w:tc>
          <w:tcPr>
            <w:tcW w:w="1328"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648"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19"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14.54: promotions «première filière» – Centre européen pour le développement de la formation professionnelle – Agents temporaires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14.55: promotions «première filière» – Centre européen pour le développement de la formation professionnelle – Fonctionnaires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160" w:line="259" w:lineRule="auto"/>
        <w:jc w:val="left"/>
        <w:rPr>
          <w:b/>
          <w:bCs/>
          <w:noProof/>
          <w:szCs w:val="24"/>
        </w:rPr>
      </w:pPr>
      <w:r>
        <w:rPr>
          <w:b/>
          <w:bCs/>
          <w:noProof/>
          <w:szCs w:val="24"/>
        </w:rPr>
        <w:br w:type="page"/>
      </w:r>
    </w:p>
    <w:p w:rsidR="00F8725A" w:rsidRDefault="00BE7D43">
      <w:pPr>
        <w:spacing w:after="0"/>
        <w:textAlignment w:val="baseline"/>
        <w:rPr>
          <w:b/>
          <w:bCs/>
          <w:noProof/>
          <w:szCs w:val="24"/>
        </w:rPr>
      </w:pPr>
      <w:r>
        <w:rPr>
          <w:b/>
          <w:bCs/>
          <w:noProof/>
          <w:szCs w:val="24"/>
        </w:rPr>
        <w:t>Annexe 14.56: promotions «première filière» – Centre de traduction – Agents temporaires</w:t>
      </w:r>
    </w:p>
    <w:tbl>
      <w:tblPr>
        <w:tblW w:w="5000" w:type="pct"/>
        <w:tblCellMar>
          <w:top w:w="15" w:type="dxa"/>
          <w:bottom w:w="15" w:type="dxa"/>
        </w:tblCellMar>
        <w:tblLook w:val="04A0" w:firstRow="1" w:lastRow="0" w:firstColumn="1" w:lastColumn="0" w:noHBand="0" w:noVBand="1"/>
      </w:tblPr>
      <w:tblGrid>
        <w:gridCol w:w="890"/>
        <w:gridCol w:w="2319"/>
        <w:gridCol w:w="1130"/>
        <w:gridCol w:w="818"/>
        <w:gridCol w:w="817"/>
        <w:gridCol w:w="817"/>
        <w:gridCol w:w="817"/>
        <w:gridCol w:w="817"/>
        <w:gridCol w:w="817"/>
      </w:tblGrid>
      <w:tr w:rsidR="00F8725A">
        <w:trPr>
          <w:trHeight w:val="300"/>
        </w:trPr>
        <w:tc>
          <w:tcPr>
            <w:tcW w:w="481"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253"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61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42"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42"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42"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42"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42"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42"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2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61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253"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611"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85"/>
        </w:trPr>
        <w:tc>
          <w:tcPr>
            <w:tcW w:w="481"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sz w:val="22"/>
                <w:szCs w:val="22"/>
                <w:lang w:val="en-IE" w:eastAsia="en-IE"/>
              </w:rPr>
            </w:pPr>
          </w:p>
        </w:tc>
        <w:tc>
          <w:tcPr>
            <w:tcW w:w="1253"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611"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14.57: promotions «première filière» – Centre de traduction – Fonctionnaires</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890"/>
        <w:gridCol w:w="2319"/>
        <w:gridCol w:w="1130"/>
        <w:gridCol w:w="818"/>
        <w:gridCol w:w="817"/>
        <w:gridCol w:w="817"/>
        <w:gridCol w:w="817"/>
        <w:gridCol w:w="817"/>
        <w:gridCol w:w="817"/>
      </w:tblGrid>
      <w:tr w:rsidR="00F8725A">
        <w:trPr>
          <w:trHeight w:val="300"/>
        </w:trPr>
        <w:tc>
          <w:tcPr>
            <w:tcW w:w="481"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253"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61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42"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42"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42"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42"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42"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42"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2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61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253"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611"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85"/>
        </w:trPr>
        <w:tc>
          <w:tcPr>
            <w:tcW w:w="481"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sz w:val="22"/>
                <w:szCs w:val="22"/>
                <w:lang w:val="en-IE" w:eastAsia="en-IE"/>
              </w:rPr>
            </w:pPr>
          </w:p>
        </w:tc>
        <w:tc>
          <w:tcPr>
            <w:tcW w:w="1253"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611"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14.58: promotions «première filière» – Organe des régulateurs européens des communications électroniques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14.59: promotions «première filière» – Entreprise commune Bio-industries</w:t>
      </w:r>
    </w:p>
    <w:p w:rsidR="00F8725A" w:rsidRDefault="00F8725A">
      <w:pPr>
        <w:spacing w:after="0"/>
        <w:textAlignment w:val="baseline"/>
        <w:rPr>
          <w:noProof/>
          <w:szCs w:val="24"/>
          <w:lang w:val="fr-BE"/>
        </w:rPr>
      </w:pPr>
    </w:p>
    <w:p w:rsidR="00F8725A" w:rsidRDefault="00BE7D43">
      <w:pPr>
        <w:spacing w:after="0"/>
        <w:textAlignment w:val="baseline"/>
        <w:rPr>
          <w:noProof/>
          <w:szCs w:val="24"/>
        </w:rPr>
      </w:pPr>
      <w:r>
        <w:rPr>
          <w:noProof/>
        </w:rPr>
        <w:t>s.o.</w:t>
      </w:r>
    </w:p>
    <w:p w:rsidR="00F8725A" w:rsidRDefault="00F8725A">
      <w:pPr>
        <w:spacing w:after="0"/>
        <w:textAlignment w:val="baseline"/>
        <w:rPr>
          <w:b/>
          <w:bCs/>
          <w:noProof/>
          <w:szCs w:val="24"/>
          <w:lang w:val="fr-BE"/>
        </w:rPr>
      </w:pPr>
    </w:p>
    <w:p w:rsidR="00F8725A" w:rsidRDefault="00BE7D43">
      <w:pPr>
        <w:spacing w:after="0"/>
        <w:textAlignment w:val="baseline"/>
        <w:rPr>
          <w:b/>
          <w:bCs/>
          <w:noProof/>
          <w:szCs w:val="24"/>
        </w:rPr>
      </w:pPr>
      <w:r>
        <w:rPr>
          <w:b/>
          <w:bCs/>
          <w:noProof/>
          <w:szCs w:val="24"/>
        </w:rPr>
        <w:t>Annexe 14.60: promotions «première filière» – Agence de l’Union européenne pour la coopération des régulateurs de l’énergie</w:t>
      </w:r>
    </w:p>
    <w:p w:rsidR="00F8725A" w:rsidRDefault="00F8725A">
      <w:pPr>
        <w:spacing w:after="0"/>
        <w:textAlignment w:val="baseline"/>
        <w:rPr>
          <w:b/>
          <w:bCs/>
          <w:noProof/>
          <w:szCs w:val="24"/>
          <w:lang w:val="fr-BE"/>
        </w:rPr>
      </w:pPr>
    </w:p>
    <w:tbl>
      <w:tblPr>
        <w:tblW w:w="5000" w:type="pct"/>
        <w:tblCellMar>
          <w:top w:w="15" w:type="dxa"/>
          <w:bottom w:w="15" w:type="dxa"/>
        </w:tblCellMar>
        <w:tblLook w:val="04A0" w:firstRow="1" w:lastRow="0" w:firstColumn="1" w:lastColumn="0" w:noHBand="0" w:noVBand="1"/>
      </w:tblPr>
      <w:tblGrid>
        <w:gridCol w:w="890"/>
        <w:gridCol w:w="2319"/>
        <w:gridCol w:w="1130"/>
        <w:gridCol w:w="818"/>
        <w:gridCol w:w="817"/>
        <w:gridCol w:w="817"/>
        <w:gridCol w:w="817"/>
        <w:gridCol w:w="817"/>
        <w:gridCol w:w="817"/>
      </w:tblGrid>
      <w:tr w:rsidR="00F8725A">
        <w:trPr>
          <w:trHeight w:val="300"/>
        </w:trPr>
        <w:tc>
          <w:tcPr>
            <w:tcW w:w="481"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FCT</w:t>
            </w:r>
          </w:p>
        </w:tc>
        <w:tc>
          <w:tcPr>
            <w:tcW w:w="1253" w:type="pct"/>
            <w:tcBorders>
              <w:top w:val="nil"/>
              <w:left w:val="nil"/>
              <w:bottom w:val="nil"/>
              <w:right w:val="nil"/>
            </w:tcBorders>
            <w:shd w:val="clear" w:color="000000" w:fill="333F4F"/>
            <w:vAlign w:val="center"/>
            <w:hideMark/>
          </w:tcPr>
          <w:p w:rsidR="00F8725A" w:rsidRDefault="00BE7D43">
            <w:pPr>
              <w:spacing w:after="0"/>
              <w:jc w:val="left"/>
              <w:rPr>
                <w:rFonts w:ascii="Calibri" w:hAnsi="Calibri" w:cs="Calibri"/>
                <w:b/>
                <w:bCs/>
                <w:noProof/>
                <w:color w:val="FFFFFF"/>
                <w:sz w:val="22"/>
                <w:szCs w:val="22"/>
              </w:rPr>
            </w:pPr>
            <w:r>
              <w:rPr>
                <w:rFonts w:ascii="Calibri" w:hAnsi="Calibri"/>
                <w:b/>
                <w:bCs/>
                <w:noProof/>
                <w:color w:val="FFFFFF"/>
                <w:sz w:val="22"/>
                <w:szCs w:val="22"/>
              </w:rPr>
              <w:t>GRADE</w:t>
            </w:r>
          </w:p>
        </w:tc>
        <w:tc>
          <w:tcPr>
            <w:tcW w:w="61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TYPE</w:t>
            </w:r>
          </w:p>
        </w:tc>
        <w:tc>
          <w:tcPr>
            <w:tcW w:w="442"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442"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442"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442"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42"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42"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2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 12 --&gt; AD 13</w:t>
            </w:r>
          </w:p>
        </w:tc>
        <w:tc>
          <w:tcPr>
            <w:tcW w:w="61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SE</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42"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85"/>
        </w:trPr>
        <w:tc>
          <w:tcPr>
            <w:tcW w:w="48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253"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 9 --&gt; AST 10</w:t>
            </w:r>
          </w:p>
        </w:tc>
        <w:tc>
          <w:tcPr>
            <w:tcW w:w="611"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AC</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442" w:type="pct"/>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85"/>
        </w:trPr>
        <w:tc>
          <w:tcPr>
            <w:tcW w:w="481" w:type="pct"/>
            <w:tcBorders>
              <w:top w:val="single" w:sz="4" w:space="0" w:color="D9E1F2"/>
              <w:left w:val="nil"/>
              <w:bottom w:val="nil"/>
              <w:right w:val="nil"/>
            </w:tcBorders>
            <w:shd w:val="clear" w:color="203764" w:fill="203764"/>
            <w:noWrap/>
            <w:vAlign w:val="bottom"/>
            <w:hideMark/>
          </w:tcPr>
          <w:p w:rsidR="00F8725A" w:rsidRDefault="00F8725A">
            <w:pPr>
              <w:spacing w:after="0"/>
              <w:jc w:val="right"/>
              <w:rPr>
                <w:rFonts w:ascii="Calibri" w:hAnsi="Calibri" w:cs="Calibri"/>
                <w:noProof/>
                <w:sz w:val="22"/>
                <w:szCs w:val="22"/>
                <w:lang w:val="en-IE" w:eastAsia="en-IE"/>
              </w:rPr>
            </w:pPr>
          </w:p>
        </w:tc>
        <w:tc>
          <w:tcPr>
            <w:tcW w:w="1253"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611"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c>
          <w:tcPr>
            <w:tcW w:w="442" w:type="pct"/>
            <w:tcBorders>
              <w:top w:val="single" w:sz="4" w:space="0" w:color="D9E1F2"/>
              <w:left w:val="nil"/>
              <w:bottom w:val="nil"/>
              <w:right w:val="nil"/>
            </w:tcBorders>
            <w:shd w:val="clear" w:color="203764" w:fill="203764"/>
            <w:noWrap/>
            <w:vAlign w:val="bottom"/>
            <w:hideMark/>
          </w:tcPr>
          <w:p w:rsidR="00F8725A" w:rsidRDefault="00F8725A">
            <w:pPr>
              <w:spacing w:after="0"/>
              <w:jc w:val="left"/>
              <w:rPr>
                <w:noProof/>
                <w:sz w:val="20"/>
                <w:lang w:val="en-IE" w:eastAsia="en-IE"/>
              </w:rPr>
            </w:pPr>
          </w:p>
        </w:tc>
      </w:tr>
    </w:tbl>
    <w:p w:rsidR="00F8725A" w:rsidRDefault="00F8725A">
      <w:pPr>
        <w:spacing w:after="0"/>
        <w:textAlignment w:val="baseline"/>
        <w:rPr>
          <w:b/>
          <w:bCs/>
          <w:noProof/>
          <w:szCs w:val="24"/>
          <w:lang w:val="en-IE"/>
        </w:rPr>
      </w:pPr>
    </w:p>
    <w:p w:rsidR="00F8725A" w:rsidRDefault="00BE7D43">
      <w:pPr>
        <w:rPr>
          <w:b/>
          <w:noProof/>
        </w:rPr>
      </w:pPr>
      <w:r>
        <w:rPr>
          <w:b/>
          <w:noProof/>
        </w:rPr>
        <w:t xml:space="preserve">Annexe 15: </w:t>
      </w:r>
      <w:r>
        <w:rPr>
          <w:b/>
          <w:bCs/>
          <w:noProof/>
        </w:rPr>
        <w:t>promotions «deuxième filière»</w:t>
      </w:r>
    </w:p>
    <w:p w:rsidR="00F8725A" w:rsidRDefault="00F8725A">
      <w:pPr>
        <w:rPr>
          <w:b/>
          <w:noProof/>
          <w:lang w:val="en-IE"/>
        </w:rPr>
        <w:sectPr w:rsidR="00F8725A">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cols w:space="708"/>
          <w:docGrid w:linePitch="360"/>
        </w:sectPr>
      </w:pPr>
    </w:p>
    <w:p w:rsidR="00F8725A" w:rsidRDefault="00BE7D43">
      <w:pPr>
        <w:spacing w:after="0"/>
        <w:textAlignment w:val="baseline"/>
        <w:rPr>
          <w:noProof/>
          <w:szCs w:val="24"/>
        </w:rPr>
      </w:pPr>
      <w:r>
        <w:rPr>
          <w:b/>
          <w:bCs/>
          <w:noProof/>
          <w:szCs w:val="24"/>
        </w:rPr>
        <w:t>Annexe 15.1: promotions «deuxième filière»</w:t>
      </w:r>
      <w:r>
        <w:rPr>
          <w:b/>
          <w:noProof/>
          <w:szCs w:val="24"/>
        </w:rPr>
        <w:t xml:space="preserve"> – Commission européenne</w:t>
      </w:r>
      <w:r>
        <w:rPr>
          <w:noProof/>
        </w:rPr>
        <w:t xml:space="preserve"> </w:t>
      </w:r>
    </w:p>
    <w:tbl>
      <w:tblPr>
        <w:tblW w:w="5000" w:type="pct"/>
        <w:tblCellMar>
          <w:left w:w="70" w:type="dxa"/>
          <w:right w:w="70" w:type="dxa"/>
        </w:tblCellMar>
        <w:tblLook w:val="04A0" w:firstRow="1" w:lastRow="0" w:firstColumn="1" w:lastColumn="0" w:noHBand="0" w:noVBand="1"/>
      </w:tblPr>
      <w:tblGrid>
        <w:gridCol w:w="1171"/>
        <w:gridCol w:w="562"/>
        <w:gridCol w:w="844"/>
        <w:gridCol w:w="1087"/>
        <w:gridCol w:w="1572"/>
        <w:gridCol w:w="1477"/>
        <w:gridCol w:w="1477"/>
        <w:gridCol w:w="1477"/>
        <w:gridCol w:w="1477"/>
        <w:gridCol w:w="1477"/>
        <w:gridCol w:w="1477"/>
      </w:tblGrid>
      <w:tr w:rsidR="00F8725A">
        <w:trPr>
          <w:trHeight w:val="310"/>
        </w:trPr>
        <w:tc>
          <w:tcPr>
            <w:tcW w:w="311" w:type="pct"/>
            <w:tcBorders>
              <w:top w:val="nil"/>
              <w:left w:val="nil"/>
              <w:bottom w:val="nil"/>
              <w:right w:val="nil"/>
            </w:tcBorders>
            <w:shd w:val="clear" w:color="auto" w:fill="auto"/>
            <w:noWrap/>
            <w:vAlign w:val="bottom"/>
            <w:hideMark/>
          </w:tcPr>
          <w:p w:rsidR="00F8725A" w:rsidRDefault="00BE7D43">
            <w:pPr>
              <w:spacing w:after="160" w:line="259" w:lineRule="auto"/>
              <w:jc w:val="left"/>
              <w:rPr>
                <w:noProof/>
                <w:sz w:val="20"/>
              </w:rPr>
            </w:pPr>
            <w:r>
              <w:rPr>
                <w:rFonts w:asciiTheme="minorHAnsi" w:hAnsiTheme="minorHAnsi"/>
                <w:noProof/>
                <w:sz w:val="22"/>
                <w:szCs w:val="22"/>
              </w:rPr>
              <w:t xml:space="preserve"> </w:t>
            </w:r>
          </w:p>
        </w:tc>
        <w:tc>
          <w:tcPr>
            <w:tcW w:w="210"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10"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9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68" w:type="pct"/>
            <w:tcBorders>
              <w:top w:val="nil"/>
              <w:left w:val="nil"/>
              <w:bottom w:val="nil"/>
              <w:right w:val="nil"/>
            </w:tcBorders>
            <w:shd w:val="clear" w:color="000000" w:fill="5B9BD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34"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34"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34"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34"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34"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34"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31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21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31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9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6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3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3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3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3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3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3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210"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10"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9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6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4,11 %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2,12 %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3,43 %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3,30 %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4,68 %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5,08 %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5,29 %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6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25,54 %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1,96 %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2,60 %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2,60 %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2,70 %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3,15 %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2,56 %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6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34,63 %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23,35 %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22,50 %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23,72 %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23,93 %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24,23 %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26,25 %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6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25,49 %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25,35 %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27,37 %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27,31 %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27,67 %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25,57 %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25,13 %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6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28,01 %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23,32 %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24,31 %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24,96 %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24,74 %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24,80 %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25,22 %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6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32,61 %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31,37 %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31,42 %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32,60 %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33,29 %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32,28 %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32,91 %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6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30,30 %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33,28 %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35,83 %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34,79 %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35,92 %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35,83 %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37,89 %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6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33,50 %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34,04 %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36,45 %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37,30 %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39,66 %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41,47 %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39,25 %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6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41,49 %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38,95 %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44,76 %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43,75 %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41,78 %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47,82 %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46,99 %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210"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10"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9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6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8,92 %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12,41 %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9,55 %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13,00 %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13,06 %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19,39 %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11,27 %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6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17,66 %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6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22,74 %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22,92 %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21,50 %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22,09 %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20,16 %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20,59 %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22,91 %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6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26,17 %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26,64 %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25,70 %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24,09 %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23,44 %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22,70 %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25,57 %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6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25,28 %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25,07 %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24,06 %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24,96 %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24,66 %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24,12 %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25,18 %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6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25,96 %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26,45 %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25,84 %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25,22 %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24,63 %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24,40 %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25,81 %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6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36,21 %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32,22 %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33,60 %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31,98 %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33,91 %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34,07 %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33,12 %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6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33,78 %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30,23 %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34,02 %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32,78 %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36,13 %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36,88 %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40,19 %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6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34,29 %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32,72 %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34,88 %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34,73 %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39,82 %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46,86 %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54,17 %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6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41,85 %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32,86 %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41,10 %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53,85 %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73,49 %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36,36 %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9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6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12,18 %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17,24 %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18,89 %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27,14 %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26,00 %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37,14 %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54,55 %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210"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10"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9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6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210"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6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6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2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6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11,63 %</w:t>
            </w:r>
          </w:p>
        </w:tc>
        <w:tc>
          <w:tcPr>
            <w:tcW w:w="534"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16,24 %</w:t>
            </w:r>
          </w:p>
        </w:tc>
      </w:tr>
      <w:tr w:rsidR="00F8725A">
        <w:trPr>
          <w:trHeight w:val="290"/>
        </w:trPr>
        <w:tc>
          <w:tcPr>
            <w:tcW w:w="3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10" w:type="pct"/>
            <w:tcBorders>
              <w:top w:val="nil"/>
              <w:left w:val="nil"/>
              <w:bottom w:val="single" w:sz="4" w:space="0" w:color="9BC2E6"/>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10"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9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6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8,93 %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9,27 %</w:t>
            </w:r>
          </w:p>
        </w:tc>
        <w:tc>
          <w:tcPr>
            <w:tcW w:w="534"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22,02 %</w:t>
            </w:r>
          </w:p>
        </w:tc>
      </w:tr>
    </w:tbl>
    <w:p w:rsidR="00F8725A" w:rsidRDefault="00BE7D43">
      <w:pPr>
        <w:spacing w:after="0"/>
        <w:textAlignment w:val="baseline"/>
        <w:rPr>
          <w:b/>
          <w:bCs/>
          <w:noProof/>
          <w:szCs w:val="24"/>
        </w:rPr>
      </w:pPr>
      <w:r>
        <w:rPr>
          <w:b/>
          <w:bCs/>
          <w:noProof/>
          <w:szCs w:val="24"/>
        </w:rPr>
        <w:t xml:space="preserve">Annexe 15.2: promotions «deuxième filière» – Parlement européen </w:t>
      </w:r>
    </w:p>
    <w:p w:rsidR="00F8725A" w:rsidRDefault="00F8725A">
      <w:pPr>
        <w:spacing w:after="0"/>
        <w:textAlignment w:val="baseline"/>
        <w:rPr>
          <w:b/>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7"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8" w:type="pct"/>
            <w:tcBorders>
              <w:top w:val="nil"/>
              <w:left w:val="nil"/>
              <w:bottom w:val="nil"/>
              <w:right w:val="nil"/>
            </w:tcBorders>
            <w:shd w:val="clear" w:color="000000" w:fill="5B9BD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7,80 %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5,74 %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34,48 %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0,58 %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4,81 %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3,99 %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22,64 %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19,11 %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18,18 %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32,75 %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36,16 %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32,28 %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20,88 %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40,49 %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29,01 %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30,08 %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25,32 %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26,73 %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25,50 %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18,56 %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18,70 %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24,03 %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26,69 %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17,84 %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21,02 %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18,85 %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30,27 %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20,81 %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29,23 %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35,85 %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35,43 %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44,44 %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36,59 %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35,63 %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27,49 %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42,89 %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38,59 %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41,06 %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35,94 %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26,82 %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47,00 %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52,07 %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37,72 %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38,34 %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45,77 %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47,02 %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28,95 %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22,94 %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35,48 %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32,45 %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34,71 %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40,50 %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18,35 %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10,20 %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7,94 %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6,15 %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22,62 %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14,04 %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5,62 %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11,83 %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22,66 %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24,21 %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41,19 %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23,10 %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23,05 %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24,19 %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20,97 %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24,23 %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25,14 %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29,37 %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26,65 %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27,05 %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39,07 %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31,19 %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36,30 %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24,13 %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24,25 %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25,59 %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25,25 %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24,55 %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30,80 %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31,63 %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22,13 %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18,27 %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18,02 %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37,64 %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18,36 %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27,61 %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36,46 %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41,46 %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36,72 %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30,73 %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41,62 %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37,06 %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33,53 %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27,73 %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41,44 %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28,03 %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60,99 %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34,31 %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43,26 %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52,07 %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36,52 %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60,34 %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37,91 %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68,62 %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46,58 %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72,73 %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14,48 %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8,82 %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4,92 %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9BC2E6"/>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13,51 %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27,84 %</w:t>
            </w:r>
          </w:p>
        </w:tc>
      </w:tr>
    </w:tbl>
    <w:p w:rsidR="00F8725A" w:rsidRDefault="00BE7D43">
      <w:pPr>
        <w:spacing w:after="0"/>
        <w:textAlignment w:val="baseline"/>
        <w:rPr>
          <w:b/>
          <w:bCs/>
          <w:noProof/>
          <w:szCs w:val="24"/>
        </w:rPr>
      </w:pPr>
      <w:r>
        <w:rPr>
          <w:b/>
          <w:bCs/>
          <w:noProof/>
          <w:szCs w:val="24"/>
        </w:rPr>
        <w:t xml:space="preserve">Annexe 15.3: promotions «deuxième filière» – Conseil </w:t>
      </w:r>
    </w:p>
    <w:p w:rsidR="00F8725A" w:rsidRDefault="00F8725A">
      <w:pPr>
        <w:spacing w:after="0"/>
        <w:textAlignment w:val="baseline"/>
        <w:rPr>
          <w:b/>
          <w:bCs/>
          <w:noProof/>
          <w:szCs w:val="24"/>
          <w:lang w:val="en-I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35"/>
        <w:gridCol w:w="1536"/>
        <w:gridCol w:w="1536"/>
        <w:gridCol w:w="1536"/>
        <w:gridCol w:w="1536"/>
        <w:gridCol w:w="1536"/>
        <w:gridCol w:w="1536"/>
      </w:tblGrid>
      <w:tr w:rsidR="00F8725A">
        <w:trPr>
          <w:trHeight w:val="310"/>
        </w:trPr>
        <w:tc>
          <w:tcPr>
            <w:tcW w:w="221"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en-IE"/>
              </w:rPr>
            </w:pPr>
          </w:p>
        </w:tc>
        <w:tc>
          <w:tcPr>
            <w:tcW w:w="110" w:type="pct"/>
            <w:tcBorders>
              <w:top w:val="nil"/>
              <w:left w:val="nil"/>
              <w:bottom w:val="nil"/>
              <w:right w:val="nil"/>
            </w:tcBorders>
            <w:shd w:val="clear" w:color="auto" w:fill="auto"/>
            <w:noWrap/>
            <w:vAlign w:val="bottom"/>
            <w:hideMark/>
          </w:tcPr>
          <w:p w:rsidR="00F8725A" w:rsidRDefault="00F8725A">
            <w:pPr>
              <w:spacing w:after="0"/>
              <w:jc w:val="left"/>
              <w:rPr>
                <w:noProof/>
                <w:sz w:val="20"/>
                <w:lang w:val="en-IE"/>
              </w:rPr>
            </w:pPr>
          </w:p>
        </w:tc>
        <w:tc>
          <w:tcPr>
            <w:tcW w:w="16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en-IE"/>
              </w:rPr>
            </w:pPr>
          </w:p>
        </w:tc>
        <w:tc>
          <w:tcPr>
            <w:tcW w:w="20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en-IE"/>
              </w:rPr>
            </w:pPr>
          </w:p>
        </w:tc>
        <w:tc>
          <w:tcPr>
            <w:tcW w:w="614" w:type="pct"/>
            <w:tcBorders>
              <w:top w:val="nil"/>
              <w:left w:val="nil"/>
              <w:bottom w:val="nil"/>
              <w:right w:val="nil"/>
            </w:tcBorders>
            <w:shd w:val="clear" w:color="000000" w:fill="5B9BD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614"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614"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614"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614"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614"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614"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2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1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16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20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61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61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61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61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61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61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61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10"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63"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0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20,41 %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15,15 %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3,61 %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3,40 %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4,58 %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5,00 %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5,79 %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25,40 %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15,43 %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2,16 %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1,84 %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1,67 %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2,65 %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3,19 %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22,07 %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25,64 %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26,04 %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27,50 %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27,63 %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28,38 %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26,03 %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25,37 %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25,30 %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28,05 %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25,58 %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25,00 %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25,00 %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25,24 %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25,58 %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25,56 %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27,55 %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25,56 %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25,49 %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25,28 %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33,72 %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33,67 %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36,84 %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38,85 %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33,53 %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33,51 %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36,18 %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33,10 %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36,05 %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38,42 %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40,00 %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38,55 %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36,05 %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38,97 %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33,12 %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36,64 %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38,79 %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41,88 %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40,17 %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36,67 %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40,16 %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36,44 %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29,41 %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35,14 %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37,41 %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34,43 %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36,59 %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10"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63"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0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26,09 %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22,22 %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22,22 %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23,53 %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22,22 %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22,73 %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20,83 %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20,93 %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25,29 %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25,77 %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25,16 %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25,15 %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25,52 %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20,51 %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25,10 %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25,31 %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25,74 %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13,57 %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14,50 %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21,71 %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25,23 %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25,27 %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25,48 %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25,34 %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25,53 %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25,34 %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20,41 %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25,31 %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24,84 %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25,43 %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25,00 %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23,56 %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28,97 %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33,55 %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33,14 %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33,52 %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33,00 %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33,33 %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33,64 %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32,37 %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33,18 %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33,04 %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33,04 %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33,04 %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33,97 %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33,52 %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33,55 %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33,62 %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35,14 %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33,33 %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33,57 %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32,95 %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33,33 %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26,67 %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50,00 %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20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12,50 %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11,76 %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14,29 %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20,00 %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25,00 %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25,00 %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10"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163"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0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10"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10"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000000"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16,67 %</w:t>
            </w:r>
          </w:p>
        </w:tc>
        <w:tc>
          <w:tcPr>
            <w:tcW w:w="614"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22,73 %</w:t>
            </w:r>
          </w:p>
        </w:tc>
      </w:tr>
      <w:tr w:rsidR="00F8725A">
        <w:trPr>
          <w:trHeight w:val="290"/>
        </w:trPr>
        <w:tc>
          <w:tcPr>
            <w:tcW w:w="22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10" w:type="pct"/>
            <w:tcBorders>
              <w:top w:val="nil"/>
              <w:left w:val="nil"/>
              <w:bottom w:val="single" w:sz="4" w:space="0" w:color="9BC2E6"/>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63"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614" w:type="pct"/>
            <w:tcBorders>
              <w:top w:val="nil"/>
              <w:left w:val="nil"/>
              <w:bottom w:val="single" w:sz="4" w:space="0" w:color="DDEBF7"/>
              <w:right w:val="nil"/>
            </w:tcBorders>
            <w:shd w:val="clear" w:color="000000"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13,48 %</w:t>
            </w:r>
          </w:p>
        </w:tc>
        <w:tc>
          <w:tcPr>
            <w:tcW w:w="614"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25,29 %</w:t>
            </w:r>
          </w:p>
        </w:tc>
      </w:tr>
    </w:tbl>
    <w:p w:rsidR="00F8725A" w:rsidRDefault="00BE7D43">
      <w:pPr>
        <w:spacing w:after="0"/>
        <w:textAlignment w:val="baseline"/>
        <w:rPr>
          <w:b/>
          <w:bCs/>
          <w:noProof/>
          <w:szCs w:val="24"/>
        </w:rPr>
      </w:pPr>
      <w:r>
        <w:rPr>
          <w:b/>
          <w:bCs/>
          <w:noProof/>
          <w:szCs w:val="24"/>
        </w:rPr>
        <w:t xml:space="preserve">Annexe 15.4: promotions «deuxième filière» – Cour de justice </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7"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8" w:type="pct"/>
            <w:tcBorders>
              <w:top w:val="nil"/>
              <w:left w:val="nil"/>
              <w:bottom w:val="nil"/>
              <w:right w:val="nil"/>
            </w:tcBorders>
            <w:shd w:val="clear" w:color="000000" w:fill="5B9BD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17,58 %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9,35 %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10,68 %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11,90 %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6,85 %</w:t>
            </w:r>
          </w:p>
        </w:tc>
        <w:tc>
          <w:tcPr>
            <w:tcW w:w="565" w:type="pct"/>
            <w:tcBorders>
              <w:top w:val="nil"/>
              <w:left w:val="nil"/>
              <w:bottom w:val="nil"/>
              <w:right w:val="nil"/>
            </w:tcBorders>
            <w:shd w:val="clear" w:color="000000"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23,21 %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4,39 %</w:t>
            </w:r>
          </w:p>
        </w:tc>
        <w:tc>
          <w:tcPr>
            <w:tcW w:w="565" w:type="pct"/>
            <w:tcBorders>
              <w:top w:val="nil"/>
              <w:left w:val="nil"/>
              <w:bottom w:val="nil"/>
              <w:right w:val="nil"/>
            </w:tcBorders>
            <w:shd w:val="clear" w:color="000000"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27,78 %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31,82 %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16,22 %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21,74 %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15,00 %</w:t>
            </w:r>
          </w:p>
        </w:tc>
        <w:tc>
          <w:tcPr>
            <w:tcW w:w="565" w:type="pct"/>
            <w:tcBorders>
              <w:top w:val="single" w:sz="4" w:space="0" w:color="DDEBF7"/>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21,21 %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25,93 %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12,28 %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30,26 %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26,71 %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15,63 %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32,08 %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13,86 %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34,94 %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20,38 %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28,33 %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19,90 %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44,67 %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26,71 %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36,43 %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32,23 %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35,20 %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41,38 %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32,20 %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34,78 %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43,36 %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28,93 %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38,30 %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9,52 %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65,22 %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54,84 %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21,43 %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65,22 %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55,17 %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23,81 %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21,43 %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32,14 %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13,51 %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14,81 %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23,33 %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22,86 %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18,42 %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39,39 %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26,98 %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18,46 %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14,04 %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25,45 %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17,31 %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30,65 %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17,78 %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22,41 %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34,15 %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13,73 %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29,90 %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25,97 %</w:t>
            </w:r>
          </w:p>
        </w:tc>
      </w:tr>
      <w:tr w:rsidR="00F8725A">
        <w:trPr>
          <w:trHeight w:val="323"/>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29,55 %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22,34 %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18,37 %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24,74 %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29,84 %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17,65 %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38,75 %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29,07 %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27,38 %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23,16 %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42,00 %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17,91 %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26,42 %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35,79 %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26,96 %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40,48 %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30,33 %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32,56 %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44,44 %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32,14 %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35,94 %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21,15 %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24,24 %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12,20 %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20,83 %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26,19 %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9BC2E6"/>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bl>
    <w:p w:rsidR="00F8725A" w:rsidRDefault="00BE7D43">
      <w:pPr>
        <w:spacing w:after="0"/>
        <w:textAlignment w:val="baseline"/>
        <w:rPr>
          <w:b/>
          <w:bCs/>
          <w:noProof/>
          <w:szCs w:val="24"/>
        </w:rPr>
      </w:pPr>
      <w:r>
        <w:rPr>
          <w:b/>
          <w:bCs/>
          <w:noProof/>
          <w:szCs w:val="24"/>
        </w:rPr>
        <w:t>Annexe 15.5: promotions «deuxième filière» – Cour des comptes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7"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8" w:type="pct"/>
            <w:tcBorders>
              <w:top w:val="nil"/>
              <w:left w:val="nil"/>
              <w:bottom w:val="nil"/>
              <w:right w:val="nil"/>
            </w:tcBorders>
            <w:shd w:val="clear" w:color="000000" w:fill="5B9BD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13,89 %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20,69 %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15,38 %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9,52 %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30,30 %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7,14 %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7,27 %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11,54 %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16,13 %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20,45 %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18,60 %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8,93 %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18,46 %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21,82 %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21,31 %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27,94 %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36,11 %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45,24 %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26,47 %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38,71 %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17,24 %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9,30 %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17,65 %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23,88 %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31,58 %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26,67 %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22,45 %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46,94 %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28,72 %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32,69 %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25,35 %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30,21 %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30,91 %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40,91 %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50,68 %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31,75 %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33,03 %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47,13 %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41,27 %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30,36 %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39,66 %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39,13 %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34,88 %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44,64 %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46,51 %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47,83 %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46,43 %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37,04 %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72,00 %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9,52 %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18,18 %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15,79 %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15,79 %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15,79 %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21,05 %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27,78 %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23,53 %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41,18 %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19,23 %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23,81 %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36,84 %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24,14 %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34,62 %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34,78 %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21,74 %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21,74 %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34,78 %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22,58 %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13,16 %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26,32 %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31,25 %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26,09 %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31,03 %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32,50 %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27,78 %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28,95 %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30,61 %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31,82 %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43,59 %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52,38 %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42,86 %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55,00 %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45,45 %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30,77 %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37,50 %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58,33 %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71,43 %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7,14 %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71,43 %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9BC2E6"/>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bl>
    <w:p w:rsidR="00F8725A" w:rsidRDefault="00BE7D43">
      <w:pPr>
        <w:spacing w:after="0"/>
        <w:textAlignment w:val="baseline"/>
        <w:rPr>
          <w:b/>
          <w:bCs/>
          <w:noProof/>
          <w:szCs w:val="24"/>
        </w:rPr>
      </w:pPr>
      <w:r>
        <w:rPr>
          <w:b/>
          <w:bCs/>
          <w:noProof/>
          <w:szCs w:val="24"/>
        </w:rPr>
        <w:t>Annexe 15.6: promotions «deuxième filière» – Service européen pour l’action extérieure</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5B9BD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7,86 %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9,89 %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14,37 %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17,65 %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15,09 %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12,70 %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27,37 %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5,63 %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4,42 %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10,17 %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23,08 %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14,81 %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16,67 %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36,17 %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26,53 %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36,36 %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29,63 %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37,70 %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30,77 %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36,36 %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16,67 %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32,50 %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28,89 %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35,14 %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34,38 %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28,95 %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28,00 %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29,09 %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53,33 %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30,30 %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38,71 %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36,36 %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36,84 %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34,15 %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45,00 %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37,04 %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53,85 %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41,67 %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38,46 %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32,36 %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54,29 %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35,90 %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21,05 %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55,56 %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46,67 %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11,76 %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66,67 %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63,63 %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36,36 %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23,81 %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11,54 %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12,50 %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17,65 %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16,95 %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20,45 %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19,61 %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28,85 %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22,45 %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15,58 %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15,38 %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15,66 %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22,62 %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23,33 %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24,18 %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31,03 %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25,61 %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27,63 %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28,21 %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23,08 %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26,88 %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25,53 %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28,40 %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24,72 %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26,44 %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29,76 %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24,71 %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27,54 %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48,15 %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36,11 %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30,99 %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32,98 %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34,74 %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42,62 %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29,58 %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42,47 %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34,52 %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29,76 %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35,71 %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31,25 %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35,00 %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41,07 %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27,69 %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38,89 %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36,73 %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35,71 %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60,53 %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20,83 %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32,61 %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34,29 %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27,78 %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14,29 %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22,22 %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9BC2E6"/>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37,50 %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6"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30,77 %</w:t>
            </w:r>
          </w:p>
        </w:tc>
      </w:tr>
    </w:tbl>
    <w:p w:rsidR="00F8725A" w:rsidRDefault="00BE7D43">
      <w:pPr>
        <w:spacing w:after="0"/>
        <w:textAlignment w:val="baseline"/>
        <w:rPr>
          <w:b/>
          <w:bCs/>
          <w:noProof/>
          <w:szCs w:val="24"/>
        </w:rPr>
      </w:pPr>
      <w:r>
        <w:rPr>
          <w:b/>
          <w:bCs/>
          <w:noProof/>
          <w:szCs w:val="24"/>
        </w:rPr>
        <w:t>Annexe 15.7: promotions «deuxième filière» – Comité économique et social européen</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7"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8" w:type="pct"/>
            <w:tcBorders>
              <w:top w:val="nil"/>
              <w:left w:val="nil"/>
              <w:bottom w:val="nil"/>
              <w:right w:val="nil"/>
            </w:tcBorders>
            <w:shd w:val="clear" w:color="000000" w:fill="5B9BD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13,89 %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7,69 %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5,56 %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13,33 %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14,81 %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13,04 %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22,50 %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37,50 %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7,89 %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5,13 %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26,09 %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27,78 %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27,78 %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27,78 %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22,73 %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31,58 %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29,41 %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35,71 %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26,67 %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14,81 %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19,57 %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27,45 %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26,92 %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30,30 %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25,53 %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39,22 %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26,53 %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25,45 %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34,69 %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36,84 %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38,18 %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36,96 %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47,50 %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44,44 %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54,55 %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36,07 %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43,18 %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36,84 %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30,43 %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46,88 %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44,44 %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43,75 %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36,84 %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64,71 %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17,39 %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26,09 %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24,14 %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24,24 %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25,81 %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21,21 %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24,32 %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19,35 %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26,83 %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20,51 %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27,50 %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22,73 %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11,36 %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13,21 %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23,91 %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25,53 %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22,45 %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27,78 %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21,82 %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29,31 %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29,55 %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29,17 %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29,79 %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32,08 %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31,37 %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34,62 %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33,96 %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32,69 %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47,92 %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38,24 %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44,12 %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32,43 %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36,67 %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75,00 %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36,36 %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61,71 %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9BC2E6"/>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36,36 %</w:t>
            </w:r>
          </w:p>
        </w:tc>
      </w:tr>
    </w:tbl>
    <w:p w:rsidR="00F8725A" w:rsidRDefault="00BE7D43">
      <w:pPr>
        <w:spacing w:after="0"/>
        <w:textAlignment w:val="baseline"/>
        <w:rPr>
          <w:b/>
          <w:bCs/>
          <w:noProof/>
          <w:szCs w:val="24"/>
        </w:rPr>
      </w:pPr>
      <w:r>
        <w:rPr>
          <w:b/>
          <w:bCs/>
          <w:noProof/>
          <w:szCs w:val="24"/>
        </w:rPr>
        <w:t>Annexe 15.8: promotions «deuxième filière» – Comité des régions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225"/>
        <w:gridCol w:w="242"/>
        <w:gridCol w:w="337"/>
        <w:gridCol w:w="296"/>
        <w:gridCol w:w="606"/>
        <w:gridCol w:w="300"/>
        <w:gridCol w:w="669"/>
        <w:gridCol w:w="1024"/>
        <w:gridCol w:w="477"/>
        <w:gridCol w:w="1060"/>
        <w:gridCol w:w="488"/>
        <w:gridCol w:w="1049"/>
        <w:gridCol w:w="525"/>
        <w:gridCol w:w="1012"/>
        <w:gridCol w:w="537"/>
        <w:gridCol w:w="1002"/>
        <w:gridCol w:w="526"/>
        <w:gridCol w:w="1013"/>
        <w:gridCol w:w="413"/>
        <w:gridCol w:w="1126"/>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gridSpan w:val="2"/>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7" w:type="pct"/>
            <w:gridSpan w:val="2"/>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gridSpan w:val="2"/>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8" w:type="pct"/>
            <w:gridSpan w:val="2"/>
            <w:tcBorders>
              <w:top w:val="nil"/>
              <w:left w:val="nil"/>
              <w:bottom w:val="nil"/>
              <w:right w:val="nil"/>
            </w:tcBorders>
            <w:shd w:val="clear" w:color="000000" w:fill="5B9BD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gridSpan w:val="2"/>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gridSpan w:val="2"/>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gridSpan w:val="2"/>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gridSpan w:val="2"/>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gridSpan w:val="2"/>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gridSpan w:val="2"/>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gridSpan w:val="2"/>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7" w:type="pct"/>
            <w:gridSpan w:val="2"/>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gridSpan w:val="2"/>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8" w:type="pct"/>
            <w:gridSpan w:val="2"/>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gridSpan w:val="2"/>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gridSpan w:val="2"/>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gridSpan w:val="2"/>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gridSpan w:val="2"/>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gridSpan w:val="2"/>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gridSpan w:val="2"/>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232" w:type="pct"/>
            <w:gridSpan w:val="2"/>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40"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52"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8,33 %</w:t>
            </w:r>
          </w:p>
        </w:tc>
        <w:tc>
          <w:tcPr>
            <w:tcW w:w="578"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12,50 %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10,00 %</w:t>
            </w:r>
          </w:p>
        </w:tc>
        <w:tc>
          <w:tcPr>
            <w:tcW w:w="561"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5,56 %</w:t>
            </w:r>
          </w:p>
        </w:tc>
        <w:tc>
          <w:tcPr>
            <w:tcW w:w="525"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26,67 %</w:t>
            </w:r>
          </w:p>
        </w:tc>
        <w:tc>
          <w:tcPr>
            <w:tcW w:w="409"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14,29 %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52"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31,58 %</w:t>
            </w:r>
          </w:p>
        </w:tc>
        <w:tc>
          <w:tcPr>
            <w:tcW w:w="569" w:type="pct"/>
            <w:gridSpan w:val="2"/>
            <w:tcBorders>
              <w:top w:val="nil"/>
              <w:left w:val="nil"/>
              <w:bottom w:val="single" w:sz="4" w:space="0" w:color="DDEBF7"/>
              <w:right w:val="nil"/>
            </w:tcBorders>
            <w:shd w:val="clear" w:color="BDD7EE"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11,11 %</w:t>
            </w:r>
          </w:p>
        </w:tc>
        <w:tc>
          <w:tcPr>
            <w:tcW w:w="578"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5,00 %</w:t>
            </w:r>
          </w:p>
        </w:tc>
        <w:tc>
          <w:tcPr>
            <w:tcW w:w="569"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8,70 %</w:t>
            </w:r>
          </w:p>
        </w:tc>
        <w:tc>
          <w:tcPr>
            <w:tcW w:w="561"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3,57 %</w:t>
            </w:r>
          </w:p>
        </w:tc>
        <w:tc>
          <w:tcPr>
            <w:tcW w:w="525"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11,11 %</w:t>
            </w:r>
          </w:p>
        </w:tc>
        <w:tc>
          <w:tcPr>
            <w:tcW w:w="409"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7,69 %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52"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21,05 %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27,78 %</w:t>
            </w:r>
          </w:p>
        </w:tc>
        <w:tc>
          <w:tcPr>
            <w:tcW w:w="578"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23,53 %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38,89 %</w:t>
            </w:r>
          </w:p>
        </w:tc>
        <w:tc>
          <w:tcPr>
            <w:tcW w:w="561"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9,09 %</w:t>
            </w:r>
          </w:p>
        </w:tc>
        <w:tc>
          <w:tcPr>
            <w:tcW w:w="525"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36,36 %</w:t>
            </w:r>
          </w:p>
        </w:tc>
        <w:tc>
          <w:tcPr>
            <w:tcW w:w="409"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16,67 %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52" w:type="pct"/>
            <w:gridSpan w:val="2"/>
            <w:tcBorders>
              <w:top w:val="nil"/>
              <w:left w:val="nil"/>
              <w:bottom w:val="single" w:sz="4" w:space="0" w:color="DDEBF7"/>
              <w:right w:val="nil"/>
            </w:tcBorders>
            <w:shd w:val="clear" w:color="BDD7EE"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23,08 %</w:t>
            </w:r>
          </w:p>
        </w:tc>
        <w:tc>
          <w:tcPr>
            <w:tcW w:w="569" w:type="pct"/>
            <w:gridSpan w:val="2"/>
            <w:tcBorders>
              <w:top w:val="nil"/>
              <w:left w:val="nil"/>
              <w:bottom w:val="single" w:sz="4" w:space="0" w:color="DDEBF7"/>
              <w:right w:val="nil"/>
            </w:tcBorders>
            <w:shd w:val="clear" w:color="BDD7EE"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78"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9"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27,27 %</w:t>
            </w:r>
          </w:p>
        </w:tc>
        <w:tc>
          <w:tcPr>
            <w:tcW w:w="561"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21,43 %</w:t>
            </w:r>
          </w:p>
        </w:tc>
        <w:tc>
          <w:tcPr>
            <w:tcW w:w="525"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29,41 %</w:t>
            </w:r>
          </w:p>
        </w:tc>
        <w:tc>
          <w:tcPr>
            <w:tcW w:w="409"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12,50 %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52"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22,22 %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78"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23,81 %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23,08 %</w:t>
            </w:r>
          </w:p>
        </w:tc>
        <w:tc>
          <w:tcPr>
            <w:tcW w:w="561"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23,53 %</w:t>
            </w:r>
          </w:p>
        </w:tc>
        <w:tc>
          <w:tcPr>
            <w:tcW w:w="525"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31,58 %</w:t>
            </w:r>
          </w:p>
        </w:tc>
        <w:tc>
          <w:tcPr>
            <w:tcW w:w="409"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21,95 %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52" w:type="pct"/>
            <w:gridSpan w:val="2"/>
            <w:tcBorders>
              <w:top w:val="nil"/>
              <w:left w:val="nil"/>
              <w:bottom w:val="single" w:sz="4" w:space="0" w:color="DDEBF7"/>
              <w:right w:val="nil"/>
            </w:tcBorders>
            <w:shd w:val="clear" w:color="BDD7EE"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17,65 %</w:t>
            </w:r>
          </w:p>
        </w:tc>
        <w:tc>
          <w:tcPr>
            <w:tcW w:w="569" w:type="pct"/>
            <w:gridSpan w:val="2"/>
            <w:tcBorders>
              <w:top w:val="nil"/>
              <w:left w:val="nil"/>
              <w:bottom w:val="single" w:sz="4" w:space="0" w:color="DDEBF7"/>
              <w:right w:val="nil"/>
            </w:tcBorders>
            <w:shd w:val="clear" w:color="BDD7EE"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44,83 %</w:t>
            </w:r>
          </w:p>
        </w:tc>
        <w:tc>
          <w:tcPr>
            <w:tcW w:w="578"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32,26 %</w:t>
            </w:r>
          </w:p>
        </w:tc>
        <w:tc>
          <w:tcPr>
            <w:tcW w:w="569"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1"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27,66 %</w:t>
            </w:r>
          </w:p>
        </w:tc>
        <w:tc>
          <w:tcPr>
            <w:tcW w:w="525"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39,53 %</w:t>
            </w:r>
          </w:p>
        </w:tc>
        <w:tc>
          <w:tcPr>
            <w:tcW w:w="409"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52"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32,65 %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25,86 %</w:t>
            </w:r>
          </w:p>
        </w:tc>
        <w:tc>
          <w:tcPr>
            <w:tcW w:w="578"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36,76 %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37,04 %</w:t>
            </w:r>
          </w:p>
        </w:tc>
        <w:tc>
          <w:tcPr>
            <w:tcW w:w="561"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30,00 %</w:t>
            </w:r>
          </w:p>
        </w:tc>
        <w:tc>
          <w:tcPr>
            <w:tcW w:w="525"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34,38 %</w:t>
            </w:r>
          </w:p>
        </w:tc>
        <w:tc>
          <w:tcPr>
            <w:tcW w:w="409"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34,48 %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52"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40,58 %</w:t>
            </w:r>
          </w:p>
        </w:tc>
        <w:tc>
          <w:tcPr>
            <w:tcW w:w="569" w:type="pct"/>
            <w:gridSpan w:val="2"/>
            <w:tcBorders>
              <w:top w:val="nil"/>
              <w:left w:val="nil"/>
              <w:bottom w:val="single" w:sz="4" w:space="0" w:color="DDEBF7"/>
              <w:right w:val="nil"/>
            </w:tcBorders>
            <w:shd w:val="clear" w:color="BDD7EE"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78"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35,48 %</w:t>
            </w:r>
          </w:p>
        </w:tc>
        <w:tc>
          <w:tcPr>
            <w:tcW w:w="569"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36,36 %</w:t>
            </w:r>
          </w:p>
        </w:tc>
        <w:tc>
          <w:tcPr>
            <w:tcW w:w="561"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36,67 %</w:t>
            </w:r>
          </w:p>
        </w:tc>
        <w:tc>
          <w:tcPr>
            <w:tcW w:w="525"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32,00 %</w:t>
            </w:r>
          </w:p>
        </w:tc>
        <w:tc>
          <w:tcPr>
            <w:tcW w:w="409"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37,50 %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52"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42,86 %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38,46 %</w:t>
            </w:r>
          </w:p>
        </w:tc>
        <w:tc>
          <w:tcPr>
            <w:tcW w:w="578"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46,43 %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47,62 %</w:t>
            </w:r>
          </w:p>
        </w:tc>
        <w:tc>
          <w:tcPr>
            <w:tcW w:w="561"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25"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63,64 %</w:t>
            </w:r>
          </w:p>
        </w:tc>
        <w:tc>
          <w:tcPr>
            <w:tcW w:w="409"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7,69 %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232" w:type="pct"/>
            <w:gridSpan w:val="2"/>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40"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52"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9" w:type="pct"/>
            <w:gridSpan w:val="2"/>
            <w:tcBorders>
              <w:top w:val="nil"/>
              <w:left w:val="nil"/>
              <w:bottom w:val="single" w:sz="4" w:space="0" w:color="DDEBF7"/>
              <w:right w:val="nil"/>
            </w:tcBorders>
            <w:shd w:val="clear" w:color="BDD7EE"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78"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9"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1"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25"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409"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52"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78"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1"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25"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409"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52"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c>
          <w:tcPr>
            <w:tcW w:w="569" w:type="pct"/>
            <w:gridSpan w:val="2"/>
            <w:tcBorders>
              <w:top w:val="nil"/>
              <w:left w:val="nil"/>
              <w:bottom w:val="single" w:sz="4" w:space="0" w:color="DDEBF7"/>
              <w:right w:val="nil"/>
            </w:tcBorders>
            <w:shd w:val="clear" w:color="BDD7EE"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28,57 %</w:t>
            </w:r>
          </w:p>
        </w:tc>
        <w:tc>
          <w:tcPr>
            <w:tcW w:w="578"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12,50 %</w:t>
            </w:r>
          </w:p>
        </w:tc>
        <w:tc>
          <w:tcPr>
            <w:tcW w:w="569"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61"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14,29 %</w:t>
            </w:r>
          </w:p>
        </w:tc>
        <w:tc>
          <w:tcPr>
            <w:tcW w:w="525"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27,27 %</w:t>
            </w:r>
          </w:p>
        </w:tc>
        <w:tc>
          <w:tcPr>
            <w:tcW w:w="409"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52"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44,44 %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18,18 %</w:t>
            </w:r>
          </w:p>
        </w:tc>
        <w:tc>
          <w:tcPr>
            <w:tcW w:w="578"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12,50 %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18,75 %</w:t>
            </w:r>
          </w:p>
        </w:tc>
        <w:tc>
          <w:tcPr>
            <w:tcW w:w="561"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26,32 %</w:t>
            </w:r>
          </w:p>
        </w:tc>
        <w:tc>
          <w:tcPr>
            <w:tcW w:w="525"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19,05 %</w:t>
            </w:r>
          </w:p>
        </w:tc>
        <w:tc>
          <w:tcPr>
            <w:tcW w:w="409"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22,73 %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52"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9" w:type="pct"/>
            <w:gridSpan w:val="2"/>
            <w:tcBorders>
              <w:top w:val="nil"/>
              <w:left w:val="nil"/>
              <w:bottom w:val="single" w:sz="4" w:space="0" w:color="DDEBF7"/>
              <w:right w:val="nil"/>
            </w:tcBorders>
            <w:shd w:val="clear" w:color="BDD7EE"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40,00 %</w:t>
            </w:r>
          </w:p>
        </w:tc>
        <w:tc>
          <w:tcPr>
            <w:tcW w:w="578"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18,18 %</w:t>
            </w:r>
          </w:p>
        </w:tc>
        <w:tc>
          <w:tcPr>
            <w:tcW w:w="569"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26,09 %</w:t>
            </w:r>
          </w:p>
        </w:tc>
        <w:tc>
          <w:tcPr>
            <w:tcW w:w="561"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28,00 %</w:t>
            </w:r>
          </w:p>
        </w:tc>
        <w:tc>
          <w:tcPr>
            <w:tcW w:w="525"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28,00 %</w:t>
            </w:r>
          </w:p>
        </w:tc>
        <w:tc>
          <w:tcPr>
            <w:tcW w:w="409"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52"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28,00 %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78"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23,08 %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27,27 %</w:t>
            </w:r>
          </w:p>
        </w:tc>
        <w:tc>
          <w:tcPr>
            <w:tcW w:w="561"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25"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28,13 %</w:t>
            </w:r>
          </w:p>
        </w:tc>
        <w:tc>
          <w:tcPr>
            <w:tcW w:w="409"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31,43 %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52"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37,93 %</w:t>
            </w:r>
          </w:p>
        </w:tc>
        <w:tc>
          <w:tcPr>
            <w:tcW w:w="569" w:type="pct"/>
            <w:gridSpan w:val="2"/>
            <w:tcBorders>
              <w:top w:val="nil"/>
              <w:left w:val="nil"/>
              <w:bottom w:val="single" w:sz="4" w:space="0" w:color="DDEBF7"/>
              <w:right w:val="nil"/>
            </w:tcBorders>
            <w:shd w:val="clear" w:color="BDD7EE"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34,48 %</w:t>
            </w:r>
          </w:p>
        </w:tc>
        <w:tc>
          <w:tcPr>
            <w:tcW w:w="578"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43,75 %</w:t>
            </w:r>
          </w:p>
        </w:tc>
        <w:tc>
          <w:tcPr>
            <w:tcW w:w="569"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28,57 %</w:t>
            </w:r>
          </w:p>
        </w:tc>
        <w:tc>
          <w:tcPr>
            <w:tcW w:w="561"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31,43 %</w:t>
            </w:r>
          </w:p>
        </w:tc>
        <w:tc>
          <w:tcPr>
            <w:tcW w:w="525"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35,48 %</w:t>
            </w:r>
          </w:p>
        </w:tc>
        <w:tc>
          <w:tcPr>
            <w:tcW w:w="409"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35,48 %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52"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35,00 %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31,58 %</w:t>
            </w:r>
          </w:p>
        </w:tc>
        <w:tc>
          <w:tcPr>
            <w:tcW w:w="578"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35,14 %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37,84 %</w:t>
            </w:r>
          </w:p>
        </w:tc>
        <w:tc>
          <w:tcPr>
            <w:tcW w:w="561"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30,00 %</w:t>
            </w:r>
          </w:p>
        </w:tc>
        <w:tc>
          <w:tcPr>
            <w:tcW w:w="525"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39,29 %</w:t>
            </w:r>
          </w:p>
        </w:tc>
        <w:tc>
          <w:tcPr>
            <w:tcW w:w="409"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32,00 %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52"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35,71 %</w:t>
            </w:r>
          </w:p>
        </w:tc>
        <w:tc>
          <w:tcPr>
            <w:tcW w:w="569" w:type="pct"/>
            <w:gridSpan w:val="2"/>
            <w:tcBorders>
              <w:top w:val="nil"/>
              <w:left w:val="nil"/>
              <w:bottom w:val="single" w:sz="4" w:space="0" w:color="DDEBF7"/>
              <w:right w:val="nil"/>
            </w:tcBorders>
            <w:shd w:val="clear" w:color="BDD7EE"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41,67 %</w:t>
            </w:r>
          </w:p>
        </w:tc>
        <w:tc>
          <w:tcPr>
            <w:tcW w:w="578"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64,29 %</w:t>
            </w:r>
          </w:p>
        </w:tc>
        <w:tc>
          <w:tcPr>
            <w:tcW w:w="569"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30,77 %</w:t>
            </w:r>
          </w:p>
        </w:tc>
        <w:tc>
          <w:tcPr>
            <w:tcW w:w="561"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25"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75,00 %</w:t>
            </w:r>
          </w:p>
        </w:tc>
        <w:tc>
          <w:tcPr>
            <w:tcW w:w="409"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52"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23,08 %</w:t>
            </w:r>
          </w:p>
        </w:tc>
        <w:tc>
          <w:tcPr>
            <w:tcW w:w="578"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62,50 %</w:t>
            </w:r>
          </w:p>
        </w:tc>
        <w:tc>
          <w:tcPr>
            <w:tcW w:w="569"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1"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25"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409"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52"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9"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78"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9"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1"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25"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409"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232" w:type="pct"/>
            <w:gridSpan w:val="2"/>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40"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52"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9"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78"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9"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1"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25"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409" w:type="pct"/>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232" w:type="pct"/>
            <w:gridSpan w:val="2"/>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52"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9"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78"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9"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1"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25"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409"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52"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9"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78"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9"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1"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25"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409" w:type="pct"/>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232" w:type="pct"/>
            <w:gridSpan w:val="2"/>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52"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9"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78"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9"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1"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25" w:type="pct"/>
            <w:gridSpan w:val="2"/>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409" w:type="pct"/>
            <w:tcBorders>
              <w:top w:val="nil"/>
              <w:left w:val="nil"/>
              <w:bottom w:val="single" w:sz="4" w:space="0" w:color="DDEBF7"/>
              <w:right w:val="nil"/>
            </w:tcBorders>
            <w:shd w:val="clear" w:color="9BC2E6" w:fill="9BC2E6"/>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339" w:type="pct"/>
            <w:gridSpan w:val="2"/>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32" w:type="pct"/>
            <w:gridSpan w:val="2"/>
            <w:tcBorders>
              <w:top w:val="nil"/>
              <w:left w:val="nil"/>
              <w:bottom w:val="single" w:sz="4" w:space="0" w:color="9BC2E6"/>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0"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52"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9"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78"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9"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61" w:type="pct"/>
            <w:gridSpan w:val="2"/>
            <w:tcBorders>
              <w:top w:val="nil"/>
              <w:left w:val="nil"/>
              <w:bottom w:val="single" w:sz="4" w:space="0" w:color="DDEBF7"/>
              <w:right w:val="nil"/>
            </w:tcBorders>
            <w:shd w:val="clear" w:color="9BC2E6"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25" w:type="pct"/>
            <w:gridSpan w:val="2"/>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409" w:type="pct"/>
            <w:tcBorders>
              <w:top w:val="nil"/>
              <w:left w:val="nil"/>
              <w:bottom w:val="single" w:sz="4" w:space="0" w:color="DDEBF7"/>
              <w:right w:val="nil"/>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r>
    </w:tbl>
    <w:p w:rsidR="00F8725A" w:rsidRDefault="00BE7D43">
      <w:pPr>
        <w:spacing w:after="0"/>
        <w:textAlignment w:val="baseline"/>
        <w:rPr>
          <w:b/>
          <w:bCs/>
          <w:noProof/>
          <w:szCs w:val="24"/>
        </w:rPr>
      </w:pPr>
      <w:r>
        <w:rPr>
          <w:b/>
          <w:bCs/>
          <w:noProof/>
          <w:szCs w:val="24"/>
        </w:rPr>
        <w:t>Annexe 15.9: promotions «deuxième filière» – Médiateur européen</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7"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8" w:type="pct"/>
            <w:tcBorders>
              <w:top w:val="nil"/>
              <w:left w:val="nil"/>
              <w:bottom w:val="nil"/>
              <w:right w:val="nil"/>
            </w:tcBorders>
            <w:shd w:val="clear" w:color="000000" w:fill="5B9BD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66,66 %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16,66 %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37,50 %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16,66 %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8"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9BC2E6"/>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8"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 xml:space="preserve">Annexe 15.10: promotions «deuxième filière» – Contrôleur européen de la protection des données </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31"/>
        <w:gridCol w:w="1536"/>
        <w:gridCol w:w="1536"/>
        <w:gridCol w:w="1537"/>
        <w:gridCol w:w="1537"/>
        <w:gridCol w:w="1537"/>
        <w:gridCol w:w="1537"/>
      </w:tblGrid>
      <w:tr w:rsidR="00F8725A">
        <w:trPr>
          <w:trHeight w:val="310"/>
        </w:trPr>
        <w:tc>
          <w:tcPr>
            <w:tcW w:w="211" w:type="pct"/>
            <w:tcBorders>
              <w:top w:val="nil"/>
              <w:left w:val="nil"/>
              <w:bottom w:val="nil"/>
              <w:right w:val="nil"/>
            </w:tcBorders>
            <w:shd w:val="clear" w:color="auto" w:fill="auto"/>
            <w:noWrap/>
            <w:vAlign w:val="bottom"/>
            <w:hideMark/>
          </w:tcPr>
          <w:p w:rsidR="00F8725A" w:rsidRDefault="00F8725A">
            <w:pPr>
              <w:spacing w:after="0"/>
              <w:jc w:val="left"/>
              <w:rPr>
                <w:noProof/>
                <w:sz w:val="20"/>
                <w:szCs w:val="24"/>
                <w:lang w:val="fr-BE"/>
              </w:rPr>
            </w:pPr>
          </w:p>
        </w:tc>
        <w:tc>
          <w:tcPr>
            <w:tcW w:w="194"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177"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0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628" w:type="pct"/>
            <w:tcBorders>
              <w:top w:val="nil"/>
              <w:left w:val="nil"/>
              <w:bottom w:val="nil"/>
              <w:right w:val="nil"/>
            </w:tcBorders>
            <w:shd w:val="clear" w:color="000000" w:fill="5B9BD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98"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98"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98"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98"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98"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98"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11"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17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20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62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98" w:type="pct"/>
            <w:tcBorders>
              <w:top w:val="single" w:sz="4" w:space="0" w:color="auto"/>
              <w:left w:val="single" w:sz="4" w:space="0" w:color="auto"/>
              <w:bottom w:val="single" w:sz="4" w:space="0" w:color="auto"/>
              <w:right w:val="single" w:sz="4" w:space="0" w:color="auto"/>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9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9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9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9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9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4"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7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02"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628" w:type="pct"/>
            <w:tcBorders>
              <w:top w:val="single" w:sz="4" w:space="0" w:color="auto"/>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single" w:sz="4" w:space="0" w:color="auto"/>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single" w:sz="4" w:space="0" w:color="auto"/>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50 000 %</w:t>
            </w:r>
          </w:p>
        </w:tc>
        <w:tc>
          <w:tcPr>
            <w:tcW w:w="598" w:type="pct"/>
            <w:tcBorders>
              <w:top w:val="single" w:sz="4" w:space="0" w:color="auto"/>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single" w:sz="4" w:space="0" w:color="auto"/>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single" w:sz="4" w:space="0" w:color="auto"/>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66,67 %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16,67 %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28,57 %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40,00 %</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75,00 %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11,11 %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28,57 %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77,78 %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18,18 %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28,57 %</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66,67 %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94"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7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02"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66,67 %</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66,67 %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202"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94"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17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02"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4" w:type="pct"/>
            <w:tcBorders>
              <w:top w:val="single" w:sz="4" w:space="0" w:color="9BC2E6"/>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94" w:type="pct"/>
            <w:tcBorders>
              <w:top w:val="nil"/>
              <w:left w:val="nil"/>
              <w:bottom w:val="single" w:sz="4" w:space="0" w:color="DDEBF7"/>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9BC2E6" w:fill="9BC2E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11"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4" w:type="pct"/>
            <w:tcBorders>
              <w:top w:val="nil"/>
              <w:left w:val="nil"/>
              <w:bottom w:val="single" w:sz="4" w:space="0" w:color="9BC2E6"/>
              <w:right w:val="nil"/>
            </w:tcBorders>
            <w:shd w:val="clear" w:color="DDEBF7" w:fill="DDEBF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7"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2" w:type="pct"/>
            <w:tcBorders>
              <w:top w:val="nil"/>
              <w:left w:val="nil"/>
              <w:bottom w:val="single" w:sz="4" w:space="0" w:color="DDEBF7"/>
              <w:right w:val="nil"/>
            </w:tcBorders>
            <w:shd w:val="clear" w:color="BDD7EE" w:fill="BDD7EE"/>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62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single" w:sz="4" w:space="0" w:color="auto"/>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98" w:type="pct"/>
            <w:tcBorders>
              <w:top w:val="nil"/>
              <w:left w:val="nil"/>
              <w:bottom w:val="single" w:sz="4" w:space="0" w:color="auto"/>
              <w:right w:val="single" w:sz="4" w:space="0" w:color="auto"/>
            </w:tcBorders>
            <w:shd w:val="clear" w:color="BDD7EE" w:fill="BDD7EE"/>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w:t>
            </w:r>
          </w:p>
        </w:tc>
      </w:tr>
    </w:tbl>
    <w:p w:rsidR="00F8725A" w:rsidRDefault="00BE7D43">
      <w:pPr>
        <w:spacing w:after="0"/>
        <w:textAlignment w:val="baseline"/>
        <w:rPr>
          <w:b/>
          <w:bCs/>
          <w:noProof/>
          <w:szCs w:val="24"/>
        </w:rPr>
      </w:pPr>
      <w:r>
        <w:rPr>
          <w:b/>
          <w:bCs/>
          <w:noProof/>
          <w:szCs w:val="24"/>
        </w:rPr>
        <w:t>Annexe 15.11: promotions «deuxième filière» – Conseil de résolution unique</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990"/>
        <w:gridCol w:w="1476"/>
        <w:gridCol w:w="1056"/>
        <w:gridCol w:w="3137"/>
        <w:gridCol w:w="3137"/>
        <w:gridCol w:w="3131"/>
      </w:tblGrid>
      <w:tr w:rsidR="00F8725A">
        <w:trPr>
          <w:trHeight w:val="310"/>
        </w:trPr>
        <w:tc>
          <w:tcPr>
            <w:tcW w:w="394"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355"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27"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7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1116"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111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111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394"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35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52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7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111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111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111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355"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52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43,00 %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355"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52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355"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52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355"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35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39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355"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2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111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18,00 %</w:t>
            </w:r>
          </w:p>
        </w:tc>
      </w:tr>
    </w:tbl>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15.12: promotions «deuxième filière» – Entreprise commune SESAR</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6"/>
        <w:gridCol w:w="1538"/>
        <w:gridCol w:w="1538"/>
        <w:gridCol w:w="1538"/>
        <w:gridCol w:w="1538"/>
        <w:gridCol w:w="1538"/>
        <w:gridCol w:w="1535"/>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8"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8" w:type="pct"/>
            <w:tcBorders>
              <w:top w:val="single" w:sz="4" w:space="0" w:color="D9E1F2"/>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16,67 %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16,66 %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18,18 %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28,57 %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16,16 %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bl>
    <w:p w:rsidR="00F8725A" w:rsidRDefault="00BE7D43">
      <w:pPr>
        <w:spacing w:after="160" w:line="259" w:lineRule="auto"/>
        <w:jc w:val="left"/>
        <w:rPr>
          <w:b/>
          <w:bCs/>
          <w:noProof/>
          <w:szCs w:val="24"/>
        </w:rPr>
      </w:pPr>
      <w:r>
        <w:rPr>
          <w:b/>
          <w:bCs/>
          <w:noProof/>
          <w:szCs w:val="24"/>
        </w:rPr>
        <w:t>Annexe 15.13: promotions «deuxième filière» – Entreprise commune Shift2Rail</w:t>
      </w: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15.14: promotions «deuxième filière» – Entreprise commune pour la mise en œuvre de l’initiative technologique conjointe en matière de médicaments innovants</w:t>
      </w:r>
    </w:p>
    <w:tbl>
      <w:tblPr>
        <w:tblW w:w="5000" w:type="pct"/>
        <w:tblCellMar>
          <w:left w:w="70" w:type="dxa"/>
          <w:right w:w="70" w:type="dxa"/>
        </w:tblCellMar>
        <w:tblLook w:val="04A0" w:firstRow="1" w:lastRow="0" w:firstColumn="1" w:lastColumn="0" w:noHBand="0" w:noVBand="1"/>
      </w:tblPr>
      <w:tblGrid>
        <w:gridCol w:w="1171"/>
        <w:gridCol w:w="488"/>
        <w:gridCol w:w="720"/>
        <w:gridCol w:w="970"/>
        <w:gridCol w:w="1517"/>
        <w:gridCol w:w="1537"/>
        <w:gridCol w:w="1537"/>
        <w:gridCol w:w="1537"/>
        <w:gridCol w:w="1537"/>
        <w:gridCol w:w="1542"/>
        <w:gridCol w:w="1542"/>
      </w:tblGrid>
      <w:tr w:rsidR="00F8725A">
        <w:trPr>
          <w:trHeight w:val="310"/>
        </w:trPr>
        <w:tc>
          <w:tcPr>
            <w:tcW w:w="415"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5"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44"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38"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4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4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4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4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47"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47"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415"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4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3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4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4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4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4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4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4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4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3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3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3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3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3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3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16,60 %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3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16,60 %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3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3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30,00 %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4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3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3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3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3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3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3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3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3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3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3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4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3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4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3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3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3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3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415"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4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3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4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15.15: promotions «deuxième filière» – Agence du GNSS européen</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15,38 %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6,25 %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17,65 %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18,18 %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18,52 %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4,35 %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18,75 %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8,11 %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18,42 %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21,62 %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15.16: promotions «deuxième filière» – Frontex</w:t>
      </w:r>
    </w:p>
    <w:tbl>
      <w:tblPr>
        <w:tblW w:w="5000" w:type="pct"/>
        <w:tblCellMar>
          <w:left w:w="70" w:type="dxa"/>
          <w:right w:w="70" w:type="dxa"/>
        </w:tblCellMar>
        <w:tblLook w:val="04A0" w:firstRow="1" w:lastRow="0" w:firstColumn="1" w:lastColumn="0" w:noHBand="0" w:noVBand="1"/>
      </w:tblPr>
      <w:tblGrid>
        <w:gridCol w:w="1171"/>
        <w:gridCol w:w="1567"/>
        <w:gridCol w:w="1489"/>
        <w:gridCol w:w="1489"/>
        <w:gridCol w:w="1489"/>
        <w:gridCol w:w="1489"/>
        <w:gridCol w:w="1489"/>
        <w:gridCol w:w="1489"/>
        <w:gridCol w:w="1213"/>
        <w:gridCol w:w="1213"/>
      </w:tblGrid>
      <w:tr w:rsidR="00F8725A">
        <w:trPr>
          <w:trHeight w:val="33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en-IE"/>
              </w:rPr>
            </w:pPr>
          </w:p>
        </w:tc>
        <w:tc>
          <w:tcPr>
            <w:tcW w:w="57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en-IE"/>
              </w:rPr>
            </w:pPr>
          </w:p>
        </w:tc>
        <w:tc>
          <w:tcPr>
            <w:tcW w:w="550" w:type="pct"/>
            <w:tcBorders>
              <w:top w:val="nil"/>
              <w:left w:val="nil"/>
              <w:bottom w:val="nil"/>
              <w:right w:val="nil"/>
            </w:tcBorders>
            <w:shd w:val="clear" w:color="auto" w:fill="auto"/>
            <w:noWrap/>
            <w:vAlign w:val="bottom"/>
            <w:hideMark/>
          </w:tcPr>
          <w:p w:rsidR="00F8725A" w:rsidRDefault="00F8725A">
            <w:pPr>
              <w:spacing w:after="0"/>
              <w:jc w:val="left"/>
              <w:rPr>
                <w:noProof/>
                <w:sz w:val="20"/>
                <w:lang w:val="en-IE"/>
              </w:rPr>
            </w:pPr>
          </w:p>
        </w:tc>
        <w:tc>
          <w:tcPr>
            <w:tcW w:w="550"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50"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50"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50"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50"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433"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433"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107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57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55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5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5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5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5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5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43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43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578"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43,00 %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67,00 %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578"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578"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578"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578"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578"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43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15.17: promotions «deuxième filière» – Agence des droits fondamentaux de l’Union européenne</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34"/>
        <w:gridCol w:w="1536"/>
        <w:gridCol w:w="1536"/>
        <w:gridCol w:w="1537"/>
        <w:gridCol w:w="1537"/>
        <w:gridCol w:w="1537"/>
        <w:gridCol w:w="1534"/>
      </w:tblGrid>
      <w:tr w:rsidR="00F8725A">
        <w:trPr>
          <w:trHeight w:val="310"/>
        </w:trPr>
        <w:tc>
          <w:tcPr>
            <w:tcW w:w="208"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91"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8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199"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617"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84"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84"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84"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84"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84"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84"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08"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91"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8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199"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61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1"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61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61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61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16,67 %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61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61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60,00 %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57,14 %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61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40,00 %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12,50 %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22,22 %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22,22 %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25,00 %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61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18,75 %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12,50 %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13,33 %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46,67 %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7,14 %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61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14,29 %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42,86 %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14,29 %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14,29 %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61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100,00 %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91"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61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61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61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33,33 %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33,33 %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33,33 %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61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75,00 %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61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33,33 %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12,50 %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61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25,00 %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12,50 %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28,57 %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22,22 %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25,00 %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42,86 %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61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14,29 %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27,27 %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37,50 %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28,57 %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61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61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100,00 %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61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61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91"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61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1"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61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61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61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61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r>
    </w:tbl>
    <w:p w:rsidR="00F8725A" w:rsidRDefault="00BE7D43">
      <w:pPr>
        <w:spacing w:after="0"/>
        <w:textAlignment w:val="baseline"/>
        <w:rPr>
          <w:b/>
          <w:bCs/>
          <w:noProof/>
          <w:szCs w:val="24"/>
        </w:rPr>
      </w:pPr>
      <w:r>
        <w:rPr>
          <w:b/>
          <w:bCs/>
          <w:noProof/>
          <w:szCs w:val="24"/>
        </w:rPr>
        <w:t>Annexe 15.18: promotions «deuxième filière»</w:t>
      </w:r>
      <w:r>
        <w:rPr>
          <w:noProof/>
        </w:rPr>
        <w:t xml:space="preserve"> – </w:t>
      </w:r>
      <w:r>
        <w:rPr>
          <w:b/>
          <w:bCs/>
          <w:noProof/>
          <w:szCs w:val="24"/>
        </w:rPr>
        <w:t>Entreprise commune Piles à combustible et Hydrogène</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6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6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15.19: promotions «deuxième filière»</w:t>
      </w:r>
      <w:r>
        <w:rPr>
          <w:noProof/>
        </w:rPr>
        <w:t xml:space="preserve"> – </w:t>
      </w:r>
      <w:r>
        <w:rPr>
          <w:b/>
          <w:bCs/>
          <w:noProof/>
          <w:szCs w:val="24"/>
        </w:rPr>
        <w:t>Fusion for Energy (ITER)</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499"/>
        <w:gridCol w:w="784"/>
        <w:gridCol w:w="1570"/>
        <w:gridCol w:w="1596"/>
        <w:gridCol w:w="1597"/>
        <w:gridCol w:w="1582"/>
        <w:gridCol w:w="1597"/>
        <w:gridCol w:w="1647"/>
        <w:gridCol w:w="1568"/>
      </w:tblGrid>
      <w:tr w:rsidR="00F8725A">
        <w:trPr>
          <w:trHeight w:val="310"/>
        </w:trPr>
        <w:tc>
          <w:tcPr>
            <w:tcW w:w="164"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35"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1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17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620"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629"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629"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624"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629"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647"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620"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164"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3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1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17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62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01/01/2012</w:t>
            </w:r>
          </w:p>
        </w:tc>
        <w:tc>
          <w:tcPr>
            <w:tcW w:w="629"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01/01/2013</w:t>
            </w:r>
          </w:p>
        </w:tc>
        <w:tc>
          <w:tcPr>
            <w:tcW w:w="629"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01/01/2014</w:t>
            </w:r>
          </w:p>
        </w:tc>
        <w:tc>
          <w:tcPr>
            <w:tcW w:w="62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01/01/2015</w:t>
            </w:r>
          </w:p>
        </w:tc>
        <w:tc>
          <w:tcPr>
            <w:tcW w:w="629"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01/01/2016</w:t>
            </w:r>
          </w:p>
        </w:tc>
        <w:tc>
          <w:tcPr>
            <w:tcW w:w="64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01/01/2017</w:t>
            </w:r>
          </w:p>
        </w:tc>
        <w:tc>
          <w:tcPr>
            <w:tcW w:w="62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01/01/2018</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35"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0,00 %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0,00 %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0,00 %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100,00 %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0,00 %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0,00 %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19,05 %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23,81 %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16,67 %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16,00 %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30,77 %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18,18 %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29,41 %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30,00 %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13,51 %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21,43 %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27,78 %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11,76 %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3,45 %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17,65 %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18,37 %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22,22 %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8,33 %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31,58 %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15,38 %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40,38 %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39,02 %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39,53 %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34,00 %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41,03 %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44,44 %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41,67 %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38,89 %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18,75 %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48,21 %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28,21 %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36,36 %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17,65 %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10,81 %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22,86 %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35"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0,00 %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0,00 %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0,00 %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20,00 %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11,11 %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30,77 %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14,29 %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28,57 %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50,00 %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44,44 %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28,57 %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20,00 %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20,00 %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20,00 %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27,27 %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164"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35"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9"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47"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20"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15.20: promotions «deuxième filière»</w:t>
      </w:r>
      <w:r>
        <w:rPr>
          <w:noProof/>
        </w:rPr>
        <w:t xml:space="preserve"> – </w:t>
      </w:r>
      <w:r>
        <w:rPr>
          <w:b/>
          <w:bCs/>
          <w:noProof/>
          <w:szCs w:val="24"/>
        </w:rPr>
        <w:t>Europol</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35"/>
        <w:gridCol w:w="1536"/>
        <w:gridCol w:w="1536"/>
        <w:gridCol w:w="1536"/>
        <w:gridCol w:w="1536"/>
        <w:gridCol w:w="1536"/>
        <w:gridCol w:w="1536"/>
      </w:tblGrid>
      <w:tr w:rsidR="00F8725A">
        <w:trPr>
          <w:trHeight w:val="310"/>
        </w:trPr>
        <w:tc>
          <w:tcPr>
            <w:tcW w:w="212"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91"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81"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199"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616"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83"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83"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83"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83"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83"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83"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12"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91"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81"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199"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61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8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8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8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8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8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8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1"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8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single" w:sz="4" w:space="0" w:color="D9E1F2"/>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6 %</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4 %</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5 %</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8 %</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91"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8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11 %</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8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91"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8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1"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91"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1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1"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19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61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8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bl>
    <w:p w:rsidR="00F8725A" w:rsidRDefault="00BE7D43">
      <w:pPr>
        <w:spacing w:after="0"/>
        <w:textAlignment w:val="baseline"/>
        <w:rPr>
          <w:b/>
          <w:bCs/>
          <w:noProof/>
          <w:szCs w:val="24"/>
        </w:rPr>
      </w:pPr>
      <w:r>
        <w:rPr>
          <w:b/>
          <w:bCs/>
          <w:noProof/>
          <w:szCs w:val="24"/>
        </w:rPr>
        <w:t>Annexe 15.21: promotions «deuxième filière»</w:t>
      </w:r>
      <w:r>
        <w:rPr>
          <w:noProof/>
        </w:rPr>
        <w:t xml:space="preserve"> –</w:t>
      </w:r>
      <w:r>
        <w:rPr>
          <w:b/>
          <w:bCs/>
          <w:noProof/>
          <w:szCs w:val="24"/>
        </w:rPr>
        <w:t xml:space="preserve"> Eurojust</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6,25 %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17,65 %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36,36 %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36,36 %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23,81 %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15,38 %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41,67 %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9,68 %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44,44 %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38,10 %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32,26 %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21,43 %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21,43 %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22,03 %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18,97 %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7,14 %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20,41 %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13,16 %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9,76 %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7,14 %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30,23 %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6,06 %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bl>
    <w:p w:rsidR="00F8725A" w:rsidRDefault="00BE7D43">
      <w:pPr>
        <w:spacing w:after="0"/>
        <w:textAlignment w:val="baseline"/>
        <w:rPr>
          <w:b/>
          <w:bCs/>
          <w:noProof/>
          <w:szCs w:val="24"/>
        </w:rPr>
      </w:pPr>
      <w:r>
        <w:rPr>
          <w:b/>
          <w:bCs/>
          <w:noProof/>
          <w:szCs w:val="24"/>
        </w:rPr>
        <w:t>Annexe 15.22: promotions «deuxième filière»</w:t>
      </w:r>
      <w:r>
        <w:rPr>
          <w:noProof/>
        </w:rPr>
        <w:t xml:space="preserve"> – </w:t>
      </w:r>
      <w:r>
        <w:rPr>
          <w:b/>
          <w:bCs/>
          <w:noProof/>
          <w:szCs w:val="24"/>
        </w:rPr>
        <w:t>Eurofound – (Agents temporaires)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43"/>
        <w:gridCol w:w="1534"/>
        <w:gridCol w:w="1534"/>
        <w:gridCol w:w="1534"/>
        <w:gridCol w:w="1534"/>
        <w:gridCol w:w="1534"/>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5"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1"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6"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6"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6"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6"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7"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1"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44,44 %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42,86 %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42,86 %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75,00 %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75,00 %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15.23: promotions «deuxième filière»</w:t>
      </w:r>
      <w:r>
        <w:rPr>
          <w:noProof/>
        </w:rPr>
        <w:t xml:space="preserve"> – </w:t>
      </w:r>
      <w:r>
        <w:rPr>
          <w:b/>
          <w:bCs/>
          <w:noProof/>
          <w:szCs w:val="24"/>
        </w:rPr>
        <w:t>Eurofound – (Partenaires)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43"/>
        <w:gridCol w:w="1534"/>
        <w:gridCol w:w="1534"/>
        <w:gridCol w:w="1534"/>
        <w:gridCol w:w="1534"/>
        <w:gridCol w:w="1534"/>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5"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1"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6"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6"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6"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6"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7"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1"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15.24: promotions «deuxième filière»</w:t>
      </w:r>
      <w:r>
        <w:rPr>
          <w:noProof/>
        </w:rPr>
        <w:t xml:space="preserve"> – </w:t>
      </w:r>
      <w:r>
        <w:rPr>
          <w:b/>
          <w:bCs/>
          <w:noProof/>
          <w:szCs w:val="24"/>
        </w:rPr>
        <w:t>Agence européenne pour la sécurité et la santé au travail</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15.25: promotions «deuxième filière» – Agence de l’Union européenne pour la gestion opérationnelle des systèmes d’information à grande échelle au sein de l’espace de liberté, de sécurité et de justice (eu-LISA)</w:t>
      </w: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6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6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20,83 %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38,89 %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31,25 %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36,36 %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29,17 %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42,86 %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21,43 %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15,38 %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34,78 %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10,53 %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15.26: promotions «deuxième filière» – Office de l’Union européenne pour la propriété intellectuelle – Agents temporaires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6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6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23,08 %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30,77 %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18,18 %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42,86 %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57,14 %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18,18 %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15,38 %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23,08 %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15,38 %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18,18 %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19,44 %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53,57 %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23,08 %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13,04 %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31,82 %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4,55 %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25,81 %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26,09 %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38,10 %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17,86 %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19,23 %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13,21 %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28,26 %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36,23 %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22,73 %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18,06 %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26,09 %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21,88 %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r>
    </w:tbl>
    <w:p w:rsidR="00F8725A" w:rsidRDefault="00BE7D43">
      <w:pPr>
        <w:spacing w:after="0"/>
        <w:textAlignment w:val="baseline"/>
        <w:rPr>
          <w:b/>
          <w:bCs/>
          <w:noProof/>
          <w:szCs w:val="24"/>
        </w:rPr>
      </w:pPr>
      <w:r>
        <w:rPr>
          <w:b/>
          <w:bCs/>
          <w:noProof/>
          <w:szCs w:val="24"/>
        </w:rPr>
        <w:t xml:space="preserve">Annexe 15.27: promotions «deuxième filière» – Office de l’Union européenne pour la propriété intellectuelle — Fonctionnaires </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6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6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7,69 %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17,14 %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10,71 %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18,52 %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17,24 %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7,14 %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21,43 %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30,77 %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44,44 %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38,46 %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44,44 %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41,67 %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78,26 %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12,90 %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65,63 %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8,82 %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47,06 %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5,56 %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9,68 %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15,79 %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7,84 %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11,54 %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3,92 %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5,66 %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13,79 %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38,24 %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15,38 %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18,42 %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24,32 %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32,50 %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17,07 %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16,98 %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13,11 %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21,54 %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17,31 %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25,86 %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23,94 %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20,73 %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18,52 %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35,21 %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23,66 %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19,35 %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30,59 %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28,85 %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42,86 %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38,10 %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34,09 %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14,71 %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38,46 %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12,20 %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46,15 %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53,13 %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38,46 %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38,10 %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w:t>
            </w:r>
          </w:p>
        </w:tc>
      </w:tr>
    </w:tbl>
    <w:p w:rsidR="00F8725A" w:rsidRDefault="00BE7D43">
      <w:pPr>
        <w:spacing w:after="0"/>
        <w:textAlignment w:val="baseline"/>
        <w:rPr>
          <w:b/>
          <w:bCs/>
          <w:noProof/>
          <w:szCs w:val="24"/>
        </w:rPr>
      </w:pPr>
      <w:r>
        <w:rPr>
          <w:b/>
          <w:bCs/>
          <w:noProof/>
          <w:szCs w:val="24"/>
        </w:rPr>
        <w:t>Annexe 15.28: promotions «deuxième filière» – Fondation européenne pour la formation</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6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6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7,69 %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15,38 %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45,45 %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37,50 %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28,57 %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15.29: promotions «deuxième filière» – Autorité européenne des marchés financiers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6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6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67,0 %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35,7 %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7,1 %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8,7 %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23,5 %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9,1 %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15,6 %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38,5 %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23,1 %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25,9 %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22,2 %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75,0 %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31,3 %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26,3 %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14,3 %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40,0 %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37,5 %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31,6 %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23,8 %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11,8 %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38,5 %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36,4 %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bl>
    <w:p w:rsidR="00F8725A" w:rsidRDefault="00BE7D43">
      <w:pPr>
        <w:spacing w:after="0"/>
        <w:textAlignment w:val="baseline"/>
        <w:rPr>
          <w:b/>
          <w:bCs/>
          <w:noProof/>
          <w:szCs w:val="24"/>
        </w:rPr>
      </w:pPr>
      <w:r>
        <w:rPr>
          <w:b/>
          <w:bCs/>
          <w:noProof/>
          <w:szCs w:val="24"/>
        </w:rPr>
        <w:t>Annexe 15.30: promotions «deuxième filière» – Agence de l’Union européenne pour les chemins de fer</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35"/>
        <w:gridCol w:w="1537"/>
        <w:gridCol w:w="1538"/>
        <w:gridCol w:w="1538"/>
        <w:gridCol w:w="1538"/>
        <w:gridCol w:w="1538"/>
        <w:gridCol w:w="1527"/>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61"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8"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4"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61"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6,45 %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3,25 %</w:t>
            </w:r>
          </w:p>
        </w:tc>
        <w:tc>
          <w:tcPr>
            <w:tcW w:w="56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4,3 %</w:t>
            </w:r>
          </w:p>
        </w:tc>
        <w:tc>
          <w:tcPr>
            <w:tcW w:w="56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5,4 %</w:t>
            </w:r>
          </w:p>
        </w:tc>
        <w:tc>
          <w:tcPr>
            <w:tcW w:w="56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1,07 %</w:t>
            </w:r>
          </w:p>
        </w:tc>
        <w:tc>
          <w:tcPr>
            <w:tcW w:w="56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2,86 %</w:t>
            </w:r>
          </w:p>
        </w:tc>
        <w:tc>
          <w:tcPr>
            <w:tcW w:w="56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2,85 %</w:t>
            </w:r>
          </w:p>
        </w:tc>
        <w:tc>
          <w:tcPr>
            <w:tcW w:w="56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14,3 %</w:t>
            </w:r>
          </w:p>
        </w:tc>
        <w:tc>
          <w:tcPr>
            <w:tcW w:w="56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2,85 %</w:t>
            </w:r>
          </w:p>
        </w:tc>
        <w:tc>
          <w:tcPr>
            <w:tcW w:w="56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8,6 %</w:t>
            </w:r>
          </w:p>
        </w:tc>
        <w:tc>
          <w:tcPr>
            <w:tcW w:w="56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15.31: promotions «deuxième filière» – Agence de l’Union européenne pour la cybersécurité (ENISA)</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6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6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16,60 %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12,50 %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16,60 %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16,60 %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7,70 %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16,60 %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14,30 %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9,00 %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3"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62"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1158" w:type="pct"/>
            <w:gridSpan w:val="2"/>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Pas d’AST/SC à l’ENISA</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3"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3"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3"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auto" w:fill="44546A" w:themeFill="text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3"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auto" w:fill="44546A" w:themeFill="text2"/>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15.32: promotions «deuxième filière» – Agence européenne pour la sécurité maritime (AESM) – Agents temporaires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6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6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15,38 %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18,75 %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31,25 %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17,65 %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18,75 %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10,53 %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14,81 %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12,82 %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26,47 %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19,23 %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17,24 %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25,81 %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42,86 %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9,52 %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40,91 %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25,93 %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16,00 %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36,84 %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31,25 %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15,79 %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42,86 %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28,57 %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54,55 %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8,33 %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29,41 %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6,25 %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23,81 %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29,41 %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18,75 %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26,32 %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31,25 %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35,71 %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28,57 %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15.33: promotions «deuxième filière» – Agence européenne pour la sécurité maritime (AESM) – Fonctionnaires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15.34: promotions «deuxième filière» – Observatoire européen des drogues et des toxicomanies – Agents temporaires</w:t>
      </w: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30"/>
        <w:gridCol w:w="1536"/>
        <w:gridCol w:w="1537"/>
        <w:gridCol w:w="1537"/>
        <w:gridCol w:w="1537"/>
        <w:gridCol w:w="1537"/>
        <w:gridCol w:w="1537"/>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5"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87"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7"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7"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7"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7"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7"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7"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8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32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8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5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8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31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8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14,28 %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32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8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3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8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8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16,66 %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36,36 %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7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8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45,45 %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34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8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34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8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38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8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8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30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8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3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8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32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8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16,66 %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32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8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r w:rsidR="00F8725A">
        <w:trPr>
          <w:trHeight w:val="32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8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8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8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8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8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8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8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8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8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8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7"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 xml:space="preserve">Annexe 15.35: promotions «deuxième filière» – Observatoire européen des drogues et des toxicomanies – Fonctionnaires </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6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6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15.36: promotions «deuxième filière» – Agence européenne des médicaments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6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6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13,64 %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10,34 %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6,06 %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6,45 %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18,18 %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22,58 %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11,54 %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17,86 %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3,45 %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12,12 %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5,88 %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21,05 %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26,83 %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7,89 %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13,95 %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13,73 %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11,54 %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6,35 %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13,64 %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15,56 %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13,46 %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24,56 %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25,93 %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22,41 %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12,86 %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17,14 %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21,43 %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19,40 %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25,35 %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12,12 %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23,53 %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41,38 %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37,50 %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7,14 %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7,69 %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7,69 %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6,25 %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21,05 %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4,55 %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18,75 %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15,15 %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15,79 %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18,75 %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15,63 %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5,26 %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7,94 %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26,09 %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21,88 %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28,81 %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18,60 %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16,22 %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29,41 %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17,14 %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22,58 %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20,34 %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7,41 %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10,34 %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21,15 %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37,50 %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15.37: promotions «deuxième filière» – Institut européen d’innovation et de technologie</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614"/>
        <w:gridCol w:w="949"/>
        <w:gridCol w:w="969"/>
        <w:gridCol w:w="2080"/>
        <w:gridCol w:w="2080"/>
        <w:gridCol w:w="2080"/>
        <w:gridCol w:w="2080"/>
        <w:gridCol w:w="2075"/>
      </w:tblGrid>
      <w:tr w:rsidR="00F8725A">
        <w:trPr>
          <w:trHeight w:val="310"/>
        </w:trPr>
        <w:tc>
          <w:tcPr>
            <w:tcW w:w="272"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250"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69"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61"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770"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770"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770"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770"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770"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72"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25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369"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261"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77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77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77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77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77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250"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6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14,00 %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60,00 %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33,00 %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22,00 %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29,00 %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31,00 %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31,00 %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18,00 %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30,00 %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250"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6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67,00 %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250"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6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250"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250"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72"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250"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69"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7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F8725A">
      <w:pPr>
        <w:spacing w:after="0"/>
        <w:textAlignment w:val="baseline"/>
        <w:rPr>
          <w:b/>
          <w:bCs/>
          <w:noProof/>
          <w:szCs w:val="24"/>
          <w:lang w:val="en-IE"/>
        </w:rPr>
      </w:pPr>
    </w:p>
    <w:p w:rsidR="00F8725A" w:rsidRDefault="00BE7D43">
      <w:pPr>
        <w:spacing w:after="0"/>
        <w:textAlignment w:val="baseline"/>
        <w:rPr>
          <w:b/>
          <w:bCs/>
          <w:noProof/>
          <w:szCs w:val="24"/>
        </w:rPr>
      </w:pPr>
      <w:r>
        <w:rPr>
          <w:b/>
          <w:bCs/>
          <w:noProof/>
          <w:szCs w:val="24"/>
        </w:rPr>
        <w:t>Annexe 15.38: promotions «deuxième filière» – Autorité européenne des assurances et des pensions professionnelles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448"/>
        <w:gridCol w:w="1459"/>
        <w:gridCol w:w="1459"/>
        <w:gridCol w:w="1459"/>
        <w:gridCol w:w="1642"/>
        <w:gridCol w:w="1642"/>
        <w:gridCol w:w="1642"/>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84"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80"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37" w:type="pct"/>
            <w:tcBorders>
              <w:top w:val="nil"/>
              <w:left w:val="nil"/>
              <w:bottom w:val="nil"/>
              <w:right w:val="nil"/>
            </w:tcBorders>
            <w:shd w:val="clear" w:color="000000" w:fill="4472C4"/>
            <w:noWrap/>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37" w:type="pct"/>
            <w:tcBorders>
              <w:top w:val="nil"/>
              <w:left w:val="nil"/>
              <w:bottom w:val="nil"/>
              <w:right w:val="nil"/>
            </w:tcBorders>
            <w:shd w:val="clear" w:color="000000" w:fill="4BACC6"/>
            <w:noWrap/>
            <w:vAlign w:val="center"/>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37" w:type="pct"/>
            <w:tcBorders>
              <w:top w:val="nil"/>
              <w:left w:val="nil"/>
              <w:bottom w:val="nil"/>
              <w:right w:val="nil"/>
            </w:tcBorders>
            <w:shd w:val="clear" w:color="000000" w:fill="92CDDC"/>
            <w:noWrap/>
            <w:vAlign w:val="center"/>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37" w:type="pct"/>
            <w:tcBorders>
              <w:top w:val="nil"/>
              <w:left w:val="nil"/>
              <w:bottom w:val="nil"/>
              <w:right w:val="nil"/>
            </w:tcBorders>
            <w:shd w:val="clear" w:color="000000" w:fill="C05046"/>
            <w:noWrap/>
            <w:vAlign w:val="center"/>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602" w:type="pct"/>
            <w:tcBorders>
              <w:top w:val="nil"/>
              <w:left w:val="nil"/>
              <w:bottom w:val="nil"/>
              <w:right w:val="nil"/>
            </w:tcBorders>
            <w:shd w:val="clear" w:color="000000" w:fill="DA9694"/>
            <w:noWrap/>
            <w:vAlign w:val="center"/>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602" w:type="pct"/>
            <w:tcBorders>
              <w:top w:val="nil"/>
              <w:left w:val="nil"/>
              <w:bottom w:val="nil"/>
              <w:right w:val="nil"/>
            </w:tcBorders>
            <w:shd w:val="clear" w:color="000000" w:fill="9BBB59"/>
            <w:noWrap/>
            <w:vAlign w:val="center"/>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602" w:type="pct"/>
            <w:tcBorders>
              <w:top w:val="nil"/>
              <w:left w:val="nil"/>
              <w:bottom w:val="nil"/>
              <w:right w:val="nil"/>
            </w:tcBorders>
            <w:shd w:val="clear" w:color="000000" w:fill="C4D79B"/>
            <w:noWrap/>
            <w:vAlign w:val="center"/>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8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3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3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3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37"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60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60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60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84"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8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12,50 %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14,29 %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11,11 %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11,11 %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16,67 %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16,67 %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10,00 %</w:t>
            </w:r>
          </w:p>
        </w:tc>
        <w:tc>
          <w:tcPr>
            <w:tcW w:w="537" w:type="pct"/>
            <w:tcBorders>
              <w:top w:val="nil"/>
              <w:left w:val="nil"/>
              <w:bottom w:val="single" w:sz="4" w:space="0" w:color="D9E1F2"/>
              <w:right w:val="nil"/>
            </w:tcBorders>
            <w:shd w:val="clear" w:color="B4C6E7"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18,18 %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9,09 %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25,00 %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25,00 %</w:t>
            </w:r>
          </w:p>
        </w:tc>
        <w:tc>
          <w:tcPr>
            <w:tcW w:w="537" w:type="pct"/>
            <w:tcBorders>
              <w:top w:val="nil"/>
              <w:left w:val="nil"/>
              <w:bottom w:val="single" w:sz="4" w:space="0" w:color="D9E1F2"/>
              <w:right w:val="nil"/>
            </w:tcBorders>
            <w:shd w:val="clear" w:color="8EA9DB"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10,00 %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8,33 %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8,33 %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8,33 %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8,33 %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18,18 %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14,29 %</w:t>
            </w:r>
          </w:p>
        </w:tc>
        <w:tc>
          <w:tcPr>
            <w:tcW w:w="537" w:type="pct"/>
            <w:tcBorders>
              <w:top w:val="nil"/>
              <w:left w:val="nil"/>
              <w:bottom w:val="single" w:sz="4" w:space="0" w:color="D9E1F2"/>
              <w:right w:val="nil"/>
            </w:tcBorders>
            <w:shd w:val="clear" w:color="B4C6E7"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25,00 %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11,11 %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30,00 %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28,57 %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37,50 %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12,50 %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10,00 %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60,00 %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84"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8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150,00 %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100,00 %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33,33 %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33,33 %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100,00 %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sz w:val="22"/>
                <w:szCs w:val="22"/>
              </w:rPr>
            </w:pPr>
            <w:r>
              <w:rPr>
                <w:rFonts w:ascii="Calibri" w:hAnsi="Calibri"/>
                <w:noProof/>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84"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8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84"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84"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84"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37"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602"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15.39: promotions «deuxième filière» – Institut européen pour l’égalité entre les hommes et les femmes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0,50 %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0,25 %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0,50 %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0,20 %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0,14 %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0,14 %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0,38 %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0,13 %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0,13 %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0,13 %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0,20 %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0,25 %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0,40 %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0,40 %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0,25 %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C00000"/>
                <w:sz w:val="22"/>
                <w:szCs w:val="22"/>
              </w:rPr>
            </w:pPr>
            <w:r>
              <w:rPr>
                <w:rFonts w:ascii="Calibri" w:hAnsi="Calibri"/>
                <w:noProof/>
                <w:color w:val="C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15.40: promotions «deuxième filière» – Autorité européenne de sécurité des aliments – Agents temporaires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6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6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3"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3"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3"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8,9 %</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11,4 %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3"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3"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3"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50,0 %</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3"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4,7 %</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12,8 %</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5,9 %</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5,3 %</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5,7 %</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10,0 %</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27,8 %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3"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2,1 %</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7,1 %</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7,7 %</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20,0 %</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13,8 %</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bl>
    <w:p w:rsidR="00F8725A" w:rsidRDefault="00BE7D43">
      <w:pPr>
        <w:spacing w:after="0"/>
        <w:textAlignment w:val="baseline"/>
        <w:rPr>
          <w:b/>
          <w:bCs/>
          <w:noProof/>
          <w:szCs w:val="24"/>
        </w:rPr>
      </w:pPr>
      <w:r>
        <w:rPr>
          <w:b/>
          <w:bCs/>
          <w:noProof/>
          <w:szCs w:val="24"/>
        </w:rPr>
        <w:t>Annexe 15.41: promotions «deuxième filière» – Autorité européenne de sécurité des aliments – Fonctionnaires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bl>
    <w:p w:rsidR="00F8725A" w:rsidRDefault="00BE7D43">
      <w:pPr>
        <w:spacing w:after="0"/>
        <w:textAlignment w:val="baseline"/>
        <w:rPr>
          <w:b/>
          <w:bCs/>
          <w:noProof/>
          <w:szCs w:val="24"/>
        </w:rPr>
      </w:pPr>
      <w:r>
        <w:rPr>
          <w:b/>
          <w:bCs/>
          <w:noProof/>
          <w:szCs w:val="24"/>
        </w:rPr>
        <w:t>Annexe 15.42: promotions «deuxième filière»</w:t>
      </w:r>
      <w:r>
        <w:rPr>
          <w:noProof/>
        </w:rPr>
        <w:t xml:space="preserve"> – </w:t>
      </w:r>
      <w:r>
        <w:rPr>
          <w:b/>
          <w:bCs/>
          <w:noProof/>
          <w:szCs w:val="24"/>
        </w:rPr>
        <w:t>Agence européenne de contrôle des pêches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6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6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15.43: promotions «deuxième filière»</w:t>
      </w:r>
      <w:r>
        <w:rPr>
          <w:noProof/>
        </w:rPr>
        <w:t xml:space="preserve"> – </w:t>
      </w:r>
      <w:r>
        <w:rPr>
          <w:b/>
          <w:bCs/>
          <w:noProof/>
          <w:szCs w:val="24"/>
        </w:rPr>
        <w:t>Agence européenne pour l’environnement — Agents temporaires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18,18 %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23,08 %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23,08 %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42,86 %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15,38 %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9,09 %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15,38 %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42,86 %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57,14 %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15.44: promotions «deuxième filière»</w:t>
      </w:r>
      <w:r>
        <w:rPr>
          <w:noProof/>
        </w:rPr>
        <w:t xml:space="preserve"> – </w:t>
      </w:r>
      <w:r>
        <w:rPr>
          <w:b/>
          <w:bCs/>
          <w:noProof/>
          <w:szCs w:val="24"/>
        </w:rPr>
        <w:t>Agence européenne pour l’environnement — Fonctionnaires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7"/>
        <w:gridCol w:w="1537"/>
        <w:gridCol w:w="1537"/>
        <w:gridCol w:w="1537"/>
        <w:gridCol w:w="1537"/>
        <w:gridCol w:w="1538"/>
        <w:gridCol w:w="1538"/>
      </w:tblGrid>
      <w:tr w:rsidR="00F8725A">
        <w:trPr>
          <w:trHeight w:val="310"/>
        </w:trPr>
        <w:tc>
          <w:tcPr>
            <w:tcW w:w="208"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9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8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00"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61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84"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84"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84"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84"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84"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84"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08"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9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8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20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61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15.45: promotions «deuxième filière»</w:t>
      </w:r>
      <w:r>
        <w:rPr>
          <w:noProof/>
        </w:rPr>
        <w:t xml:space="preserve"> – </w:t>
      </w:r>
      <w:r>
        <w:rPr>
          <w:b/>
          <w:bCs/>
          <w:noProof/>
          <w:szCs w:val="24"/>
        </w:rPr>
        <w:t xml:space="preserve">Entreprise commune Composants et systèmes électroniques pour un leadership européen </w:t>
      </w: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4"/>
        <w:gridCol w:w="1537"/>
        <w:gridCol w:w="1538"/>
        <w:gridCol w:w="1538"/>
        <w:gridCol w:w="1538"/>
        <w:gridCol w:w="1538"/>
        <w:gridCol w:w="153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6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5"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5"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6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6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15.46: promotions «deuxième filière» – Agence européenne des produits chimiques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26 %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11 %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15 %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12 %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s.o.</w:t>
            </w:r>
          </w:p>
        </w:tc>
      </w:tr>
    </w:tbl>
    <w:p w:rsidR="00F8725A" w:rsidRDefault="00BE7D43">
      <w:pPr>
        <w:spacing w:after="0"/>
        <w:textAlignment w:val="baseline"/>
        <w:rPr>
          <w:b/>
          <w:bCs/>
          <w:noProof/>
          <w:szCs w:val="24"/>
        </w:rPr>
      </w:pPr>
      <w:r>
        <w:rPr>
          <w:b/>
          <w:bCs/>
          <w:noProof/>
          <w:szCs w:val="24"/>
        </w:rPr>
        <w:t>Annexe 15.47: promotions «deuxième filière» – Centre européen de prévention et de contrôle des maladies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7,69 %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18,18 %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7,89 %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7,69 %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5,88 %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6,67 %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14,81 %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7,69 %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4,76 %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29,17 %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10,87 %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11,63 %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8,89 %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14,71 %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4,55 %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18,18 %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6,25 %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18,75 %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5,56 %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17,86 %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9,52 %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44,44 %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15,38 %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15,38 %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s.o.</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bl>
    <w:p w:rsidR="00F8725A" w:rsidRDefault="00BE7D43">
      <w:pPr>
        <w:spacing w:after="0"/>
        <w:textAlignment w:val="baseline"/>
        <w:rPr>
          <w:b/>
          <w:bCs/>
          <w:noProof/>
          <w:szCs w:val="24"/>
        </w:rPr>
      </w:pPr>
      <w:r>
        <w:rPr>
          <w:b/>
          <w:bCs/>
          <w:noProof/>
          <w:szCs w:val="24"/>
        </w:rPr>
        <w:t>Annexe 15.48: promotions «deuxième filière» – Autorité bancaire européenne</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21,43 %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35,71 %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7,14 %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57,14 %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7,69 %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27,78 %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13,33 %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7,14 %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11,76 %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25,93 %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35,00 %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20,83 %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67,00 %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15.49: promotions «deuxième filière» – Bureau européen d’appui en matière d’asile</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9,10 %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33,20 %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13,30 %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7,10 %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4,80 %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6,80 %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31,30 %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14,30 %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15,80 %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8,30 %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r>
    </w:tbl>
    <w:p w:rsidR="00F8725A" w:rsidRDefault="00BE7D43">
      <w:pPr>
        <w:spacing w:after="0"/>
        <w:textAlignment w:val="baseline"/>
        <w:rPr>
          <w:b/>
          <w:bCs/>
          <w:noProof/>
          <w:szCs w:val="24"/>
        </w:rPr>
      </w:pPr>
      <w:r>
        <w:rPr>
          <w:b/>
          <w:bCs/>
          <w:noProof/>
          <w:szCs w:val="24"/>
        </w:rPr>
        <w:t>Annexe 15.50: promotions «deuxième filière» – Agence de l’Union européenne pour la sécurité aérienne</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55,56 %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4,76 %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5,88 %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18,75 %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17,91 %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17,39 %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18,06 %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12,86 %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22,37 %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13,89 %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10,64 %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8,25 %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9,35 %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12,40 %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15,48 %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24,42 %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13,59 %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12,78 %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19,15 %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22,63 %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16,98 %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14,15 %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25,20 %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24,56 %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32,94 %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18,67 %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5,13 %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13,41 %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29,03 %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37,50 %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23,81 %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23,53 %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36,36 %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9,52 %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21,74 %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sz w:val="22"/>
                <w:szCs w:val="22"/>
              </w:rPr>
            </w:pPr>
            <w:r>
              <w:rPr>
                <w:rFonts w:ascii="Calibri" w:hAnsi="Calibri"/>
                <w:noProof/>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5,56 %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4,55 %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13,33 %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13,89 %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43,48 %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26,09 %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18,75 %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27,78 %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29,41 %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17,65 %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19,23 %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23,40 %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30,77 %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15,15 %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15,38 %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13,64 %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20,83 %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23,53 %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38,46 %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18,75 %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bl>
    <w:p w:rsidR="00F8725A" w:rsidRDefault="00BE7D43">
      <w:pPr>
        <w:spacing w:after="0"/>
        <w:textAlignment w:val="baseline"/>
        <w:rPr>
          <w:b/>
          <w:bCs/>
          <w:noProof/>
          <w:szCs w:val="24"/>
        </w:rPr>
      </w:pPr>
      <w:r>
        <w:rPr>
          <w:b/>
          <w:bCs/>
          <w:noProof/>
          <w:szCs w:val="24"/>
        </w:rPr>
        <w:t>Annexe 15.51: promotions «deuxième filière» – Entreprise commune Clean sky</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15.52: promotions «deuxième filière» – Office communautaire des variétés végétales — Agents temporaires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38,00 %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bl>
    <w:p w:rsidR="00F8725A" w:rsidRDefault="00BE7D43">
      <w:pPr>
        <w:spacing w:after="0"/>
        <w:textAlignment w:val="baseline"/>
        <w:rPr>
          <w:b/>
          <w:bCs/>
          <w:noProof/>
          <w:szCs w:val="24"/>
        </w:rPr>
      </w:pPr>
      <w:r>
        <w:rPr>
          <w:b/>
          <w:bCs/>
          <w:noProof/>
          <w:szCs w:val="24"/>
        </w:rPr>
        <w:t>Annexe 15.53: promotions «deuxième filière» – Office communautaire des variétés végétales — Fonctionnaires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lang w:val="fr-BE"/>
        </w:rPr>
      </w:pPr>
      <w:r>
        <w:rPr>
          <w:b/>
          <w:bCs/>
          <w:noProof/>
          <w:szCs w:val="24"/>
        </w:rPr>
        <w:t>Annexe 15.54: promotions «deuxième filière» – Centre européen pour le développement de la formation professionnelle – Agents temporaires</w:t>
      </w: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67 %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60 %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57 %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30 %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38 %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80 %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8 %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43 %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56 %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14 %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13 %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75 %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67 %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lang w:val="fr-BE"/>
        </w:rPr>
      </w:pPr>
      <w:r>
        <w:rPr>
          <w:b/>
          <w:bCs/>
          <w:noProof/>
          <w:szCs w:val="24"/>
        </w:rPr>
        <w:t>Annexe 15.55: promotions «deuxième filière» – Centre européen pour le développement de la formation professionnelle – Fonctionnaires</w:t>
      </w: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60 %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67 %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100 %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15.56: promotions «deuxième filière» – Centre de traduction — Agents temporaires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17"/>
        <w:gridCol w:w="1538"/>
        <w:gridCol w:w="1538"/>
        <w:gridCol w:w="1538"/>
        <w:gridCol w:w="1538"/>
        <w:gridCol w:w="1541"/>
        <w:gridCol w:w="1541"/>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326"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94"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65"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65"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65"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65"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66"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66"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32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9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6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66"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11,11 %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5,56 %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13,33 %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7,69 %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17,65 %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26,32 %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6,25 %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21,43 %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13,64 %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23,08 %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24,14 %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29,17 %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18,18 %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83,33 %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23,81 %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36,36 %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27,27 %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9,09 %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23,81 %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12,50 %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30,77 %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18,18 %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18,18 %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18,18 %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14,29 %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42,86 %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9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0 %</w:t>
            </w:r>
          </w:p>
        </w:tc>
        <w:tc>
          <w:tcPr>
            <w:tcW w:w="565"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66"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32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9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66"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15.57: promotions «deuxième filière» – Centre de traduction – Fonctionnaires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7"/>
        <w:gridCol w:w="1537"/>
        <w:gridCol w:w="1537"/>
        <w:gridCol w:w="1537"/>
        <w:gridCol w:w="1537"/>
        <w:gridCol w:w="1538"/>
        <w:gridCol w:w="1538"/>
      </w:tblGrid>
      <w:tr w:rsidR="00F8725A">
        <w:trPr>
          <w:trHeight w:val="310"/>
        </w:trPr>
        <w:tc>
          <w:tcPr>
            <w:tcW w:w="208"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9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8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00"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61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84"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84"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84"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84"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84"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84"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08"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9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8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20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61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613"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613"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613"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18,18 %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613"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28,57 %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613"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25,00 %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16,67 %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613"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22,22 %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8,33 %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22,22 %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613"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613"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613"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613"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613"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sz w:val="22"/>
                <w:szCs w:val="22"/>
              </w:rPr>
            </w:pPr>
            <w:r>
              <w:rPr>
                <w:rFonts w:ascii="Calibri" w:hAnsi="Calibri"/>
                <w:noProof/>
                <w:sz w:val="22"/>
                <w:szCs w:val="22"/>
              </w:rPr>
              <w:t>20,00 %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613"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613"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50,00 %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613"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613"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613" w:type="pct"/>
            <w:tcBorders>
              <w:top w:val="nil"/>
              <w:left w:val="nil"/>
              <w:bottom w:val="single" w:sz="4" w:space="0" w:color="D9E1F2"/>
              <w:right w:val="nil"/>
            </w:tcBorders>
            <w:shd w:val="clear" w:color="8EA9DB" w:fill="8EA9DB"/>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40,00 %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33,33 %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33,33 %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613" w:type="pct"/>
            <w:tcBorders>
              <w:top w:val="nil"/>
              <w:left w:val="nil"/>
              <w:bottom w:val="single" w:sz="4" w:space="0" w:color="D9E1F2"/>
              <w:right w:val="nil"/>
            </w:tcBorders>
            <w:shd w:val="clear" w:color="B4C6E7" w:fill="B4C6E7"/>
            <w:noWrap/>
            <w:vAlign w:val="center"/>
            <w:hideMark/>
          </w:tcPr>
          <w:p w:rsidR="00F8725A" w:rsidRDefault="00BE7D43">
            <w:pPr>
              <w:spacing w:after="0"/>
              <w:jc w:val="center"/>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15.58: promotions «deuxième filière» – Organe des régulateurs européens des communications électroniques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7"/>
        <w:gridCol w:w="1537"/>
        <w:gridCol w:w="1537"/>
        <w:gridCol w:w="1537"/>
        <w:gridCol w:w="1537"/>
        <w:gridCol w:w="1538"/>
        <w:gridCol w:w="1538"/>
      </w:tblGrid>
      <w:tr w:rsidR="00F8725A">
        <w:trPr>
          <w:trHeight w:val="310"/>
        </w:trPr>
        <w:tc>
          <w:tcPr>
            <w:tcW w:w="208"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9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8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00"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61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84"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84"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84"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84"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84"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84"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08"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9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8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20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61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66,67 %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61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15.59: promotions «deuxième filière» – Entreprise commune Bio-industries</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784"/>
        <w:gridCol w:w="1505"/>
        <w:gridCol w:w="1503"/>
        <w:gridCol w:w="1503"/>
        <w:gridCol w:w="1503"/>
        <w:gridCol w:w="1503"/>
        <w:gridCol w:w="1921"/>
        <w:gridCol w:w="1498"/>
      </w:tblGrid>
      <w:tr w:rsidR="00F8725A">
        <w:trPr>
          <w:trHeight w:val="310"/>
        </w:trPr>
        <w:tc>
          <w:tcPr>
            <w:tcW w:w="256"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73"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55"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78"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57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53"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53"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53"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53"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701"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53"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56"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55"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278"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57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5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5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5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5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701"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5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57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57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57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57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57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57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57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40,00 %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57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57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57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57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57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57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57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57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57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57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57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57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852" w:type="pct"/>
            <w:gridSpan w:val="2"/>
            <w:tcBorders>
              <w:top w:val="single" w:sz="4" w:space="0" w:color="D9E1F2"/>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57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73"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57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57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73"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57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56"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73"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55"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78"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57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701"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53"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BE7D43">
      <w:pPr>
        <w:spacing w:after="0"/>
        <w:textAlignment w:val="baseline"/>
        <w:rPr>
          <w:b/>
          <w:bCs/>
          <w:noProof/>
          <w:szCs w:val="24"/>
        </w:rPr>
      </w:pPr>
      <w:r>
        <w:rPr>
          <w:b/>
          <w:bCs/>
          <w:noProof/>
          <w:szCs w:val="24"/>
        </w:rPr>
        <w:t>Annexe 15.60: promotions «deuxième filière» – Agence de coopération des régulateurs de l’énergie</w:t>
      </w:r>
    </w:p>
    <w:p w:rsidR="00F8725A" w:rsidRDefault="00F8725A">
      <w:pPr>
        <w:spacing w:after="0"/>
        <w:textAlignment w:val="baseline"/>
        <w:rPr>
          <w:b/>
          <w:bCs/>
          <w:noProof/>
          <w:szCs w:val="24"/>
          <w:lang w:val="fr-BE"/>
        </w:rPr>
      </w:pPr>
    </w:p>
    <w:tbl>
      <w:tblPr>
        <w:tblW w:w="5000" w:type="pct"/>
        <w:tblCellMar>
          <w:left w:w="70" w:type="dxa"/>
          <w:right w:w="70" w:type="dxa"/>
        </w:tblCellMar>
        <w:tblLook w:val="04A0" w:firstRow="1" w:lastRow="0" w:firstColumn="1" w:lastColumn="0" w:noHBand="0" w:noVBand="1"/>
      </w:tblPr>
      <w:tblGrid>
        <w:gridCol w:w="1171"/>
        <w:gridCol w:w="487"/>
        <w:gridCol w:w="720"/>
        <w:gridCol w:w="969"/>
        <w:gridCol w:w="1527"/>
        <w:gridCol w:w="1537"/>
        <w:gridCol w:w="1537"/>
        <w:gridCol w:w="1537"/>
        <w:gridCol w:w="1537"/>
        <w:gridCol w:w="1538"/>
        <w:gridCol w:w="1538"/>
      </w:tblGrid>
      <w:tr w:rsidR="00F8725A">
        <w:trPr>
          <w:trHeight w:val="310"/>
        </w:trPr>
        <w:tc>
          <w:tcPr>
            <w:tcW w:w="208" w:type="pct"/>
            <w:tcBorders>
              <w:top w:val="nil"/>
              <w:left w:val="nil"/>
              <w:bottom w:val="nil"/>
              <w:right w:val="nil"/>
            </w:tcBorders>
            <w:shd w:val="clear" w:color="auto" w:fill="auto"/>
            <w:noWrap/>
            <w:vAlign w:val="bottom"/>
            <w:hideMark/>
          </w:tcPr>
          <w:p w:rsidR="00F8725A" w:rsidRDefault="00F8725A">
            <w:pPr>
              <w:spacing w:after="0"/>
              <w:jc w:val="left"/>
              <w:rPr>
                <w:noProof/>
                <w:szCs w:val="24"/>
                <w:lang w:val="fr-BE"/>
              </w:rPr>
            </w:pPr>
          </w:p>
        </w:tc>
        <w:tc>
          <w:tcPr>
            <w:tcW w:w="19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82"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200" w:type="pct"/>
            <w:tcBorders>
              <w:top w:val="nil"/>
              <w:left w:val="nil"/>
              <w:bottom w:val="nil"/>
              <w:right w:val="nil"/>
            </w:tcBorders>
            <w:shd w:val="clear" w:color="auto" w:fill="auto"/>
            <w:noWrap/>
            <w:vAlign w:val="bottom"/>
            <w:hideMark/>
          </w:tcPr>
          <w:p w:rsidR="00F8725A" w:rsidRDefault="00F8725A">
            <w:pPr>
              <w:spacing w:after="0"/>
              <w:jc w:val="left"/>
              <w:rPr>
                <w:noProof/>
                <w:sz w:val="20"/>
                <w:lang w:val="fr-BE"/>
              </w:rPr>
            </w:pPr>
          </w:p>
        </w:tc>
        <w:tc>
          <w:tcPr>
            <w:tcW w:w="613" w:type="pct"/>
            <w:tcBorders>
              <w:top w:val="nil"/>
              <w:left w:val="nil"/>
              <w:bottom w:val="nil"/>
              <w:right w:val="nil"/>
            </w:tcBorders>
            <w:shd w:val="clear" w:color="000000" w:fill="4472C4"/>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2013</w:t>
            </w:r>
          </w:p>
        </w:tc>
        <w:tc>
          <w:tcPr>
            <w:tcW w:w="584" w:type="pct"/>
            <w:tcBorders>
              <w:top w:val="nil"/>
              <w:left w:val="nil"/>
              <w:bottom w:val="nil"/>
              <w:right w:val="nil"/>
            </w:tcBorders>
            <w:shd w:val="clear" w:color="000000" w:fill="4BACC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2014</w:t>
            </w:r>
          </w:p>
        </w:tc>
        <w:tc>
          <w:tcPr>
            <w:tcW w:w="584" w:type="pct"/>
            <w:tcBorders>
              <w:top w:val="nil"/>
              <w:left w:val="nil"/>
              <w:bottom w:val="nil"/>
              <w:right w:val="nil"/>
            </w:tcBorders>
            <w:shd w:val="clear" w:color="000000" w:fill="92CDDC"/>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2015</w:t>
            </w:r>
          </w:p>
        </w:tc>
        <w:tc>
          <w:tcPr>
            <w:tcW w:w="584" w:type="pct"/>
            <w:tcBorders>
              <w:top w:val="nil"/>
              <w:left w:val="nil"/>
              <w:bottom w:val="nil"/>
              <w:right w:val="nil"/>
            </w:tcBorders>
            <w:shd w:val="clear" w:color="000000" w:fill="C05046"/>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2016</w:t>
            </w:r>
          </w:p>
        </w:tc>
        <w:tc>
          <w:tcPr>
            <w:tcW w:w="584" w:type="pct"/>
            <w:tcBorders>
              <w:top w:val="nil"/>
              <w:left w:val="nil"/>
              <w:bottom w:val="nil"/>
              <w:right w:val="nil"/>
            </w:tcBorders>
            <w:shd w:val="clear" w:color="000000" w:fill="DA9694"/>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2017</w:t>
            </w:r>
          </w:p>
        </w:tc>
        <w:tc>
          <w:tcPr>
            <w:tcW w:w="584" w:type="pct"/>
            <w:tcBorders>
              <w:top w:val="nil"/>
              <w:left w:val="nil"/>
              <w:bottom w:val="nil"/>
              <w:right w:val="nil"/>
            </w:tcBorders>
            <w:shd w:val="clear" w:color="000000" w:fill="9BBB59"/>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2018</w:t>
            </w:r>
          </w:p>
        </w:tc>
        <w:tc>
          <w:tcPr>
            <w:tcW w:w="584" w:type="pct"/>
            <w:tcBorders>
              <w:top w:val="nil"/>
              <w:left w:val="nil"/>
              <w:bottom w:val="nil"/>
              <w:right w:val="nil"/>
            </w:tcBorders>
            <w:shd w:val="clear" w:color="000000" w:fill="C4D79B"/>
            <w:noWrap/>
            <w:vAlign w:val="bottom"/>
            <w:hideMark/>
          </w:tcPr>
          <w:p w:rsidR="00F8725A" w:rsidRDefault="00BE7D43">
            <w:pPr>
              <w:spacing w:after="0"/>
              <w:jc w:val="center"/>
              <w:rPr>
                <w:rFonts w:ascii="Calibri" w:hAnsi="Calibri" w:cs="Calibri"/>
                <w:b/>
                <w:bCs/>
                <w:noProof/>
                <w:color w:val="FFFFFF"/>
                <w:szCs w:val="24"/>
              </w:rPr>
            </w:pPr>
            <w:r>
              <w:rPr>
                <w:rFonts w:ascii="Calibri" w:hAnsi="Calibri"/>
                <w:b/>
                <w:bCs/>
                <w:noProof/>
                <w:color w:val="FFFFFF"/>
                <w:szCs w:val="24"/>
              </w:rPr>
              <w:t>2019</w:t>
            </w:r>
          </w:p>
        </w:tc>
      </w:tr>
      <w:tr w:rsidR="00F8725A">
        <w:trPr>
          <w:trHeight w:val="580"/>
        </w:trPr>
        <w:tc>
          <w:tcPr>
            <w:tcW w:w="208" w:type="pct"/>
            <w:tcBorders>
              <w:top w:val="nil"/>
              <w:left w:val="nil"/>
              <w:bottom w:val="nil"/>
              <w:right w:val="nil"/>
            </w:tcBorders>
            <w:shd w:val="clear" w:color="000000" w:fill="C00000"/>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Annexe I, B</w:t>
            </w:r>
          </w:p>
        </w:tc>
        <w:tc>
          <w:tcPr>
            <w:tcW w:w="19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FCT</w:t>
            </w:r>
          </w:p>
        </w:tc>
        <w:tc>
          <w:tcPr>
            <w:tcW w:w="282"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CAT</w:t>
            </w:r>
          </w:p>
        </w:tc>
        <w:tc>
          <w:tcPr>
            <w:tcW w:w="200"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GRADE</w:t>
            </w:r>
          </w:p>
        </w:tc>
        <w:tc>
          <w:tcPr>
            <w:tcW w:w="613"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1/1/2012</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1/1/2013</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1/1/2014</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1/1/2015</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1/1/2016</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1/1/2017</w:t>
            </w:r>
          </w:p>
        </w:tc>
        <w:tc>
          <w:tcPr>
            <w:tcW w:w="584" w:type="pct"/>
            <w:tcBorders>
              <w:top w:val="nil"/>
              <w:left w:val="nil"/>
              <w:bottom w:val="nil"/>
              <w:right w:val="nil"/>
            </w:tcBorders>
            <w:shd w:val="clear" w:color="000000" w:fill="333F4F"/>
            <w:vAlign w:val="center"/>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Promus sur la population active le 1/1/2018</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AD</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13</w:t>
            </w:r>
          </w:p>
        </w:tc>
        <w:tc>
          <w:tcPr>
            <w:tcW w:w="613"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12</w:t>
            </w:r>
          </w:p>
        </w:tc>
        <w:tc>
          <w:tcPr>
            <w:tcW w:w="613"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11</w:t>
            </w:r>
          </w:p>
        </w:tc>
        <w:tc>
          <w:tcPr>
            <w:tcW w:w="613"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10</w:t>
            </w:r>
          </w:p>
        </w:tc>
        <w:tc>
          <w:tcPr>
            <w:tcW w:w="613"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09</w:t>
            </w:r>
          </w:p>
        </w:tc>
        <w:tc>
          <w:tcPr>
            <w:tcW w:w="613"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08</w:t>
            </w:r>
          </w:p>
        </w:tc>
        <w:tc>
          <w:tcPr>
            <w:tcW w:w="613"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60,00 %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14,30 %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07</w:t>
            </w:r>
          </w:p>
        </w:tc>
        <w:tc>
          <w:tcPr>
            <w:tcW w:w="613"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33,30 %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16,70 %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28,60 %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06</w:t>
            </w:r>
          </w:p>
        </w:tc>
        <w:tc>
          <w:tcPr>
            <w:tcW w:w="613"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50,00 %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28,60 %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10,00 %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37,50 %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36 %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AD 05</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37,50 %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18,20 %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20,20 %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9,10 %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9,10 %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54,50 %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14,30 %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10</w:t>
            </w:r>
          </w:p>
        </w:tc>
        <w:tc>
          <w:tcPr>
            <w:tcW w:w="613"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8 %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09</w:t>
            </w:r>
          </w:p>
        </w:tc>
        <w:tc>
          <w:tcPr>
            <w:tcW w:w="613"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FF0000"/>
                <w:sz w:val="22"/>
                <w:szCs w:val="22"/>
              </w:rPr>
            </w:pPr>
            <w:r>
              <w:rPr>
                <w:rFonts w:ascii="Calibri" w:hAnsi="Calibri"/>
                <w:noProof/>
                <w:color w:val="FF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08</w:t>
            </w:r>
          </w:p>
        </w:tc>
        <w:tc>
          <w:tcPr>
            <w:tcW w:w="613"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07</w:t>
            </w:r>
          </w:p>
        </w:tc>
        <w:tc>
          <w:tcPr>
            <w:tcW w:w="613"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06</w:t>
            </w:r>
          </w:p>
        </w:tc>
        <w:tc>
          <w:tcPr>
            <w:tcW w:w="613"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05</w:t>
            </w:r>
          </w:p>
        </w:tc>
        <w:tc>
          <w:tcPr>
            <w:tcW w:w="613"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w:t>
            </w:r>
          </w:p>
        </w:tc>
        <w:tc>
          <w:tcPr>
            <w:tcW w:w="613"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8EA9DB"/>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20,00 %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03</w:t>
            </w:r>
          </w:p>
        </w:tc>
        <w:tc>
          <w:tcPr>
            <w:tcW w:w="613"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9,10 %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16,70 %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16,70 %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25,00 %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11,10 %</w:t>
            </w:r>
          </w:p>
        </w:tc>
        <w:tc>
          <w:tcPr>
            <w:tcW w:w="584" w:type="pct"/>
            <w:tcBorders>
              <w:top w:val="nil"/>
              <w:left w:val="nil"/>
              <w:bottom w:val="single" w:sz="4" w:space="0" w:color="D9E1F2"/>
              <w:right w:val="nil"/>
            </w:tcBorders>
            <w:shd w:val="clear" w:color="B4C6E7" w:fill="B4C6E7"/>
            <w:noWrap/>
            <w:vAlign w:val="bottom"/>
            <w:hideMark/>
          </w:tcPr>
          <w:p w:rsidR="00F8725A" w:rsidRDefault="00BE7D43">
            <w:pPr>
              <w:spacing w:after="0"/>
              <w:jc w:val="right"/>
              <w:rPr>
                <w:rFonts w:ascii="Calibri" w:hAnsi="Calibri" w:cs="Calibri"/>
                <w:noProof/>
                <w:color w:val="000000"/>
                <w:sz w:val="22"/>
                <w:szCs w:val="22"/>
              </w:rPr>
            </w:pPr>
            <w:r>
              <w:rPr>
                <w:rFonts w:ascii="Calibri" w:hAnsi="Calibri"/>
                <w:noProof/>
                <w:color w:val="000000"/>
                <w:sz w:val="22"/>
                <w:szCs w:val="22"/>
              </w:rPr>
              <w:t>14,30 %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02</w:t>
            </w:r>
          </w:p>
        </w:tc>
        <w:tc>
          <w:tcPr>
            <w:tcW w:w="613"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33 %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01</w:t>
            </w:r>
          </w:p>
        </w:tc>
        <w:tc>
          <w:tcPr>
            <w:tcW w:w="613"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10 %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AST/D</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AST 04/D</w:t>
            </w:r>
          </w:p>
        </w:tc>
        <w:tc>
          <w:tcPr>
            <w:tcW w:w="613"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12 %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SC</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05</w:t>
            </w:r>
          </w:p>
        </w:tc>
        <w:tc>
          <w:tcPr>
            <w:tcW w:w="613"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15 %</w:t>
            </w:r>
          </w:p>
        </w:tc>
        <w:tc>
          <w:tcPr>
            <w:tcW w:w="192" w:type="pct"/>
            <w:tcBorders>
              <w:top w:val="single" w:sz="4" w:space="0" w:color="8EA9DB"/>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04</w:t>
            </w:r>
          </w:p>
        </w:tc>
        <w:tc>
          <w:tcPr>
            <w:tcW w:w="613"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17 %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03</w:t>
            </w:r>
          </w:p>
        </w:tc>
        <w:tc>
          <w:tcPr>
            <w:tcW w:w="613"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20 %</w:t>
            </w:r>
          </w:p>
        </w:tc>
        <w:tc>
          <w:tcPr>
            <w:tcW w:w="192" w:type="pct"/>
            <w:tcBorders>
              <w:top w:val="nil"/>
              <w:left w:val="nil"/>
              <w:bottom w:val="single" w:sz="4" w:space="0" w:color="D9E1F2"/>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8EA9DB" w:fill="8EA9DB"/>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02</w:t>
            </w:r>
          </w:p>
        </w:tc>
        <w:tc>
          <w:tcPr>
            <w:tcW w:w="613"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8EA9DB"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r w:rsidR="00F8725A">
        <w:trPr>
          <w:trHeight w:val="290"/>
        </w:trPr>
        <w:tc>
          <w:tcPr>
            <w:tcW w:w="208" w:type="pct"/>
            <w:tcBorders>
              <w:top w:val="nil"/>
              <w:left w:val="nil"/>
              <w:bottom w:val="nil"/>
              <w:right w:val="nil"/>
            </w:tcBorders>
            <w:shd w:val="clear" w:color="000000" w:fill="A5A5A5"/>
            <w:noWrap/>
            <w:vAlign w:val="bottom"/>
            <w:hideMark/>
          </w:tcPr>
          <w:p w:rsidR="00F8725A" w:rsidRDefault="00BE7D43">
            <w:pPr>
              <w:spacing w:after="0"/>
              <w:jc w:val="center"/>
              <w:rPr>
                <w:rFonts w:ascii="Calibri" w:hAnsi="Calibri" w:cs="Calibri"/>
                <w:b/>
                <w:bCs/>
                <w:noProof/>
                <w:color w:val="FFFFFF"/>
                <w:sz w:val="22"/>
                <w:szCs w:val="22"/>
              </w:rPr>
            </w:pPr>
            <w:r>
              <w:rPr>
                <w:rFonts w:ascii="Calibri" w:hAnsi="Calibri"/>
                <w:b/>
                <w:bCs/>
                <w:noProof/>
                <w:color w:val="FFFFFF"/>
                <w:sz w:val="22"/>
                <w:szCs w:val="22"/>
              </w:rPr>
              <w:t>25 %</w:t>
            </w:r>
          </w:p>
        </w:tc>
        <w:tc>
          <w:tcPr>
            <w:tcW w:w="192" w:type="pct"/>
            <w:tcBorders>
              <w:top w:val="nil"/>
              <w:left w:val="nil"/>
              <w:bottom w:val="single" w:sz="4" w:space="0" w:color="8EA9DB"/>
              <w:right w:val="nil"/>
            </w:tcBorders>
            <w:shd w:val="clear" w:color="D9E1F2" w:fill="D9E1F2"/>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82"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b/>
                <w:bCs/>
                <w:noProof/>
                <w:color w:val="000000"/>
                <w:sz w:val="22"/>
                <w:szCs w:val="22"/>
              </w:rPr>
            </w:pPr>
            <w:r>
              <w:rPr>
                <w:rFonts w:ascii="Calibri" w:hAnsi="Calibri"/>
                <w:b/>
                <w:bCs/>
                <w:noProof/>
                <w:color w:val="000000"/>
                <w:sz w:val="22"/>
                <w:szCs w:val="22"/>
              </w:rPr>
              <w:t xml:space="preserve"> </w:t>
            </w:r>
          </w:p>
        </w:tc>
        <w:tc>
          <w:tcPr>
            <w:tcW w:w="200" w:type="pct"/>
            <w:tcBorders>
              <w:top w:val="nil"/>
              <w:left w:val="nil"/>
              <w:bottom w:val="single" w:sz="4" w:space="0" w:color="D9E1F2"/>
              <w:right w:val="nil"/>
            </w:tcBorders>
            <w:shd w:val="clear" w:color="B4C6E7" w:fill="B4C6E7"/>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SC 01</w:t>
            </w:r>
          </w:p>
        </w:tc>
        <w:tc>
          <w:tcPr>
            <w:tcW w:w="613"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c>
          <w:tcPr>
            <w:tcW w:w="584" w:type="pct"/>
            <w:tcBorders>
              <w:top w:val="nil"/>
              <w:left w:val="nil"/>
              <w:bottom w:val="single" w:sz="4" w:space="0" w:color="D9E1F2"/>
              <w:right w:val="nil"/>
            </w:tcBorders>
            <w:shd w:val="clear" w:color="B4C6E7" w:fill="A6A6A6"/>
            <w:noWrap/>
            <w:vAlign w:val="bottom"/>
            <w:hideMark/>
          </w:tcPr>
          <w:p w:rsidR="00F8725A" w:rsidRDefault="00BE7D43">
            <w:pPr>
              <w:spacing w:after="0"/>
              <w:jc w:val="left"/>
              <w:rPr>
                <w:rFonts w:ascii="Calibri" w:hAnsi="Calibri" w:cs="Calibri"/>
                <w:noProof/>
                <w:color w:val="000000"/>
                <w:sz w:val="22"/>
                <w:szCs w:val="22"/>
              </w:rPr>
            </w:pPr>
            <w:r>
              <w:rPr>
                <w:rFonts w:ascii="Calibri" w:hAnsi="Calibri"/>
                <w:noProof/>
                <w:color w:val="000000"/>
                <w:sz w:val="22"/>
                <w:szCs w:val="22"/>
              </w:rPr>
              <w:t xml:space="preserve"> </w:t>
            </w:r>
          </w:p>
        </w:tc>
      </w:tr>
    </w:tbl>
    <w:p w:rsidR="00F8725A" w:rsidRDefault="00F8725A">
      <w:pPr>
        <w:spacing w:after="0"/>
        <w:textAlignment w:val="baseline"/>
        <w:rPr>
          <w:b/>
          <w:bCs/>
          <w:noProof/>
          <w:szCs w:val="24"/>
          <w:lang w:val="en-IE"/>
        </w:rPr>
      </w:pPr>
    </w:p>
    <w:p w:rsidR="00F8725A" w:rsidRDefault="00BE7D43">
      <w:pPr>
        <w:rPr>
          <w:b/>
          <w:noProof/>
        </w:rPr>
      </w:pPr>
      <w:r>
        <w:rPr>
          <w:b/>
          <w:noProof/>
        </w:rPr>
        <w:t>Annexe 16: emplois types en transition</w:t>
      </w:r>
    </w:p>
    <w:tbl>
      <w:tblPr>
        <w:tblStyle w:val="GridTable4-Accent51"/>
        <w:tblW w:w="0" w:type="auto"/>
        <w:jc w:val="center"/>
        <w:tblLook w:val="04A0" w:firstRow="1" w:lastRow="0" w:firstColumn="1" w:lastColumn="0" w:noHBand="0" w:noVBand="1"/>
      </w:tblPr>
      <w:tblGrid>
        <w:gridCol w:w="1242"/>
        <w:gridCol w:w="2552"/>
        <w:gridCol w:w="1443"/>
        <w:gridCol w:w="2835"/>
      </w:tblGrid>
      <w:tr w:rsidR="00F8725A" w:rsidTr="00F872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F8725A" w:rsidRDefault="00BE7D43">
            <w:pPr>
              <w:jc w:val="center"/>
              <w:rPr>
                <w:b w:val="0"/>
                <w:noProof/>
              </w:rPr>
            </w:pPr>
            <w:r>
              <w:rPr>
                <w:b w:val="0"/>
                <w:noProof/>
              </w:rPr>
              <w:t>Grade</w:t>
            </w:r>
          </w:p>
        </w:tc>
        <w:tc>
          <w:tcPr>
            <w:tcW w:w="2552" w:type="dxa"/>
          </w:tcPr>
          <w:p w:rsidR="00F8725A" w:rsidRDefault="00BE7D43">
            <w:pPr>
              <w:jc w:val="center"/>
              <w:cnfStyle w:val="100000000000" w:firstRow="1" w:lastRow="0" w:firstColumn="0" w:lastColumn="0" w:oddVBand="0" w:evenVBand="0" w:oddHBand="0" w:evenHBand="0" w:firstRowFirstColumn="0" w:firstRowLastColumn="0" w:lastRowFirstColumn="0" w:lastRowLastColumn="0"/>
              <w:rPr>
                <w:b w:val="0"/>
                <w:noProof/>
              </w:rPr>
            </w:pPr>
            <w:r>
              <w:rPr>
                <w:b w:val="0"/>
                <w:noProof/>
              </w:rPr>
              <w:t>AST (ex-B, attesté, recruté après le 1/5/2004)</w:t>
            </w:r>
          </w:p>
        </w:tc>
        <w:tc>
          <w:tcPr>
            <w:tcW w:w="1276" w:type="dxa"/>
          </w:tcPr>
          <w:p w:rsidR="00F8725A" w:rsidRDefault="00BE7D43">
            <w:pPr>
              <w:jc w:val="center"/>
              <w:cnfStyle w:val="100000000000" w:firstRow="1" w:lastRow="0" w:firstColumn="0" w:lastColumn="0" w:oddVBand="0" w:evenVBand="0" w:oddHBand="0" w:evenHBand="0" w:firstRowFirstColumn="0" w:firstRowLastColumn="0" w:lastRowFirstColumn="0" w:lastRowLastColumn="0"/>
              <w:rPr>
                <w:b w:val="0"/>
                <w:noProof/>
              </w:rPr>
            </w:pPr>
            <w:r>
              <w:rPr>
                <w:b w:val="0"/>
                <w:noProof/>
              </w:rPr>
              <w:t>AST ex-C</w:t>
            </w:r>
          </w:p>
        </w:tc>
        <w:tc>
          <w:tcPr>
            <w:tcW w:w="2835" w:type="dxa"/>
          </w:tcPr>
          <w:p w:rsidR="00F8725A" w:rsidRDefault="00BE7D43">
            <w:pPr>
              <w:jc w:val="center"/>
              <w:cnfStyle w:val="100000000000" w:firstRow="1" w:lastRow="0" w:firstColumn="0" w:lastColumn="0" w:oddVBand="0" w:evenVBand="0" w:oddHBand="0" w:evenHBand="0" w:firstRowFirstColumn="0" w:firstRowLastColumn="0" w:lastRowFirstColumn="0" w:lastRowLastColumn="0"/>
              <w:rPr>
                <w:b w:val="0"/>
                <w:noProof/>
              </w:rPr>
            </w:pPr>
            <w:r>
              <w:rPr>
                <w:b w:val="0"/>
                <w:noProof/>
              </w:rPr>
              <w:t>AST ex-D</w:t>
            </w:r>
          </w:p>
        </w:tc>
      </w:tr>
      <w:tr w:rsidR="00F8725A" w:rsidTr="00F872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F8725A" w:rsidRDefault="00BE7D43">
            <w:pPr>
              <w:jc w:val="center"/>
              <w:rPr>
                <w:noProof/>
              </w:rPr>
            </w:pPr>
            <w:r>
              <w:rPr>
                <w:noProof/>
              </w:rPr>
              <w:t>11</w:t>
            </w:r>
          </w:p>
        </w:tc>
        <w:tc>
          <w:tcPr>
            <w:tcW w:w="2552" w:type="dxa"/>
            <w:vMerge w:val="restart"/>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Assistant confirmé en transition</w:t>
            </w:r>
          </w:p>
        </w:tc>
        <w:tc>
          <w:tcPr>
            <w:tcW w:w="1276" w:type="dxa"/>
            <w:vMerge w:val="restart"/>
            <w:shd w:val="clear" w:color="auto" w:fill="FFFFFF" w:themeFill="background1"/>
          </w:tcPr>
          <w:p w:rsidR="00F8725A" w:rsidRDefault="00F8725A">
            <w:pPr>
              <w:cnfStyle w:val="000000100000" w:firstRow="0" w:lastRow="0" w:firstColumn="0" w:lastColumn="0" w:oddVBand="0" w:evenVBand="0" w:oddHBand="1" w:evenHBand="0" w:firstRowFirstColumn="0" w:firstRowLastColumn="0" w:lastRowFirstColumn="0" w:lastRowLastColumn="0"/>
              <w:rPr>
                <w:noProof/>
                <w:lang w:val="en-IE"/>
              </w:rPr>
            </w:pPr>
          </w:p>
        </w:tc>
        <w:tc>
          <w:tcPr>
            <w:tcW w:w="2835" w:type="dxa"/>
            <w:vMerge w:val="restart"/>
            <w:shd w:val="clear" w:color="auto" w:fill="FFFFFF" w:themeFill="background1"/>
          </w:tcPr>
          <w:p w:rsidR="00F8725A" w:rsidRDefault="00F8725A">
            <w:pPr>
              <w:cnfStyle w:val="000000100000" w:firstRow="0" w:lastRow="0" w:firstColumn="0" w:lastColumn="0" w:oddVBand="0" w:evenVBand="0" w:oddHBand="1" w:evenHBand="0" w:firstRowFirstColumn="0" w:firstRowLastColumn="0" w:lastRowFirstColumn="0" w:lastRowLastColumn="0"/>
              <w:rPr>
                <w:noProof/>
                <w:lang w:val="en-IE"/>
              </w:rPr>
            </w:pPr>
          </w:p>
        </w:tc>
      </w:tr>
      <w:tr w:rsidR="00F8725A" w:rsidTr="00F8725A">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F8725A" w:rsidRDefault="00BE7D43">
            <w:pPr>
              <w:jc w:val="center"/>
              <w:rPr>
                <w:noProof/>
              </w:rPr>
            </w:pPr>
            <w:r>
              <w:rPr>
                <w:noProof/>
              </w:rPr>
              <w:t>10</w:t>
            </w:r>
          </w:p>
        </w:tc>
        <w:tc>
          <w:tcPr>
            <w:tcW w:w="2552" w:type="dxa"/>
            <w:vMerge/>
          </w:tcPr>
          <w:p w:rsidR="00F8725A" w:rsidRDefault="00F8725A">
            <w:pPr>
              <w:cnfStyle w:val="000000000000" w:firstRow="0" w:lastRow="0" w:firstColumn="0" w:lastColumn="0" w:oddVBand="0" w:evenVBand="0" w:oddHBand="0" w:evenHBand="0" w:firstRowFirstColumn="0" w:firstRowLastColumn="0" w:lastRowFirstColumn="0" w:lastRowLastColumn="0"/>
              <w:rPr>
                <w:noProof/>
                <w:lang w:val="en-IE"/>
              </w:rPr>
            </w:pPr>
          </w:p>
        </w:tc>
        <w:tc>
          <w:tcPr>
            <w:tcW w:w="1276" w:type="dxa"/>
            <w:vMerge/>
            <w:shd w:val="clear" w:color="auto" w:fill="FFFFFF" w:themeFill="background1"/>
          </w:tcPr>
          <w:p w:rsidR="00F8725A" w:rsidRDefault="00F8725A">
            <w:pPr>
              <w:cnfStyle w:val="000000000000" w:firstRow="0" w:lastRow="0" w:firstColumn="0" w:lastColumn="0" w:oddVBand="0" w:evenVBand="0" w:oddHBand="0" w:evenHBand="0" w:firstRowFirstColumn="0" w:firstRowLastColumn="0" w:lastRowFirstColumn="0" w:lastRowLastColumn="0"/>
              <w:rPr>
                <w:noProof/>
                <w:lang w:val="en-IE"/>
              </w:rPr>
            </w:pPr>
          </w:p>
        </w:tc>
        <w:tc>
          <w:tcPr>
            <w:tcW w:w="2835" w:type="dxa"/>
            <w:vMerge/>
            <w:shd w:val="clear" w:color="auto" w:fill="FFFFFF" w:themeFill="background1"/>
          </w:tcPr>
          <w:p w:rsidR="00F8725A" w:rsidRDefault="00F8725A">
            <w:pPr>
              <w:cnfStyle w:val="000000000000" w:firstRow="0" w:lastRow="0" w:firstColumn="0" w:lastColumn="0" w:oddVBand="0" w:evenVBand="0" w:oddHBand="0" w:evenHBand="0" w:firstRowFirstColumn="0" w:firstRowLastColumn="0" w:lastRowFirstColumn="0" w:lastRowLastColumn="0"/>
              <w:rPr>
                <w:noProof/>
                <w:lang w:val="en-IE"/>
              </w:rPr>
            </w:pPr>
          </w:p>
        </w:tc>
      </w:tr>
      <w:tr w:rsidR="00F8725A" w:rsidTr="00F872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F8725A" w:rsidRDefault="00BE7D43">
            <w:pPr>
              <w:jc w:val="center"/>
              <w:rPr>
                <w:noProof/>
              </w:rPr>
            </w:pPr>
            <w:r>
              <w:rPr>
                <w:noProof/>
              </w:rPr>
              <w:t>9</w:t>
            </w:r>
          </w:p>
        </w:tc>
        <w:tc>
          <w:tcPr>
            <w:tcW w:w="2552" w:type="dxa"/>
            <w:vMerge w:val="restart"/>
            <w:vAlign w:val="center"/>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Assistant en</w:t>
            </w:r>
          </w:p>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transition</w:t>
            </w:r>
          </w:p>
        </w:tc>
        <w:tc>
          <w:tcPr>
            <w:tcW w:w="1276" w:type="dxa"/>
            <w:vMerge/>
            <w:shd w:val="clear" w:color="auto" w:fill="FFFFFF" w:themeFill="background1"/>
          </w:tcPr>
          <w:p w:rsidR="00F8725A" w:rsidRDefault="00F8725A">
            <w:pPr>
              <w:cnfStyle w:val="000000100000" w:firstRow="0" w:lastRow="0" w:firstColumn="0" w:lastColumn="0" w:oddVBand="0" w:evenVBand="0" w:oddHBand="1" w:evenHBand="0" w:firstRowFirstColumn="0" w:firstRowLastColumn="0" w:lastRowFirstColumn="0" w:lastRowLastColumn="0"/>
              <w:rPr>
                <w:noProof/>
                <w:lang w:val="en-IE"/>
              </w:rPr>
            </w:pPr>
          </w:p>
        </w:tc>
        <w:tc>
          <w:tcPr>
            <w:tcW w:w="2835" w:type="dxa"/>
            <w:vMerge/>
            <w:shd w:val="clear" w:color="auto" w:fill="FFFFFF" w:themeFill="background1"/>
          </w:tcPr>
          <w:p w:rsidR="00F8725A" w:rsidRDefault="00F8725A">
            <w:pPr>
              <w:cnfStyle w:val="000000100000" w:firstRow="0" w:lastRow="0" w:firstColumn="0" w:lastColumn="0" w:oddVBand="0" w:evenVBand="0" w:oddHBand="1" w:evenHBand="0" w:firstRowFirstColumn="0" w:firstRowLastColumn="0" w:lastRowFirstColumn="0" w:lastRowLastColumn="0"/>
              <w:rPr>
                <w:noProof/>
                <w:lang w:val="en-IE"/>
              </w:rPr>
            </w:pPr>
          </w:p>
        </w:tc>
      </w:tr>
      <w:tr w:rsidR="00F8725A" w:rsidTr="00F8725A">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F8725A" w:rsidRDefault="00BE7D43">
            <w:pPr>
              <w:jc w:val="center"/>
              <w:rPr>
                <w:noProof/>
              </w:rPr>
            </w:pPr>
            <w:r>
              <w:rPr>
                <w:noProof/>
              </w:rPr>
              <w:t>8</w:t>
            </w:r>
          </w:p>
        </w:tc>
        <w:tc>
          <w:tcPr>
            <w:tcW w:w="2552" w:type="dxa"/>
            <w:vMerge/>
          </w:tcPr>
          <w:p w:rsidR="00F8725A" w:rsidRDefault="00F8725A">
            <w:pPr>
              <w:cnfStyle w:val="000000000000" w:firstRow="0" w:lastRow="0" w:firstColumn="0" w:lastColumn="0" w:oddVBand="0" w:evenVBand="0" w:oddHBand="0" w:evenHBand="0" w:firstRowFirstColumn="0" w:firstRowLastColumn="0" w:lastRowFirstColumn="0" w:lastRowLastColumn="0"/>
              <w:rPr>
                <w:noProof/>
                <w:lang w:val="en-IE"/>
              </w:rPr>
            </w:pPr>
          </w:p>
        </w:tc>
        <w:tc>
          <w:tcPr>
            <w:tcW w:w="1276" w:type="dxa"/>
            <w:vMerge/>
            <w:shd w:val="clear" w:color="auto" w:fill="FFFFFF" w:themeFill="background1"/>
          </w:tcPr>
          <w:p w:rsidR="00F8725A" w:rsidRDefault="00F8725A">
            <w:pPr>
              <w:cnfStyle w:val="000000000000" w:firstRow="0" w:lastRow="0" w:firstColumn="0" w:lastColumn="0" w:oddVBand="0" w:evenVBand="0" w:oddHBand="0" w:evenHBand="0" w:firstRowFirstColumn="0" w:firstRowLastColumn="0" w:lastRowFirstColumn="0" w:lastRowLastColumn="0"/>
              <w:rPr>
                <w:noProof/>
                <w:lang w:val="en-IE"/>
              </w:rPr>
            </w:pPr>
          </w:p>
        </w:tc>
        <w:tc>
          <w:tcPr>
            <w:tcW w:w="2835" w:type="dxa"/>
            <w:vMerge/>
            <w:shd w:val="clear" w:color="auto" w:fill="FFFFFF" w:themeFill="background1"/>
          </w:tcPr>
          <w:p w:rsidR="00F8725A" w:rsidRDefault="00F8725A">
            <w:pPr>
              <w:cnfStyle w:val="000000000000" w:firstRow="0" w:lastRow="0" w:firstColumn="0" w:lastColumn="0" w:oddVBand="0" w:evenVBand="0" w:oddHBand="0" w:evenHBand="0" w:firstRowFirstColumn="0" w:firstRowLastColumn="0" w:lastRowFirstColumn="0" w:lastRowLastColumn="0"/>
              <w:rPr>
                <w:noProof/>
                <w:lang w:val="en-IE"/>
              </w:rPr>
            </w:pPr>
          </w:p>
        </w:tc>
      </w:tr>
      <w:tr w:rsidR="00F8725A" w:rsidTr="00F872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F8725A" w:rsidRDefault="00BE7D43">
            <w:pPr>
              <w:jc w:val="center"/>
              <w:rPr>
                <w:noProof/>
              </w:rPr>
            </w:pPr>
            <w:r>
              <w:rPr>
                <w:noProof/>
              </w:rPr>
              <w:t>7</w:t>
            </w:r>
          </w:p>
        </w:tc>
        <w:tc>
          <w:tcPr>
            <w:tcW w:w="2552" w:type="dxa"/>
            <w:vMerge/>
          </w:tcPr>
          <w:p w:rsidR="00F8725A" w:rsidRDefault="00F8725A">
            <w:pPr>
              <w:cnfStyle w:val="000000100000" w:firstRow="0" w:lastRow="0" w:firstColumn="0" w:lastColumn="0" w:oddVBand="0" w:evenVBand="0" w:oddHBand="1" w:evenHBand="0" w:firstRowFirstColumn="0" w:firstRowLastColumn="0" w:lastRowFirstColumn="0" w:lastRowLastColumn="0"/>
              <w:rPr>
                <w:noProof/>
                <w:lang w:val="en-IE"/>
              </w:rPr>
            </w:pPr>
          </w:p>
        </w:tc>
        <w:tc>
          <w:tcPr>
            <w:tcW w:w="1276" w:type="dxa"/>
            <w:vMerge w:val="restart"/>
            <w:vAlign w:val="center"/>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Assistant</w:t>
            </w:r>
          </w:p>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administratif</w:t>
            </w:r>
          </w:p>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en transition</w:t>
            </w:r>
          </w:p>
        </w:tc>
        <w:tc>
          <w:tcPr>
            <w:tcW w:w="2835" w:type="dxa"/>
            <w:vMerge/>
            <w:shd w:val="clear" w:color="auto" w:fill="FFFFFF" w:themeFill="background1"/>
          </w:tcPr>
          <w:p w:rsidR="00F8725A" w:rsidRDefault="00F8725A">
            <w:pPr>
              <w:cnfStyle w:val="000000100000" w:firstRow="0" w:lastRow="0" w:firstColumn="0" w:lastColumn="0" w:oddVBand="0" w:evenVBand="0" w:oddHBand="1" w:evenHBand="0" w:firstRowFirstColumn="0" w:firstRowLastColumn="0" w:lastRowFirstColumn="0" w:lastRowLastColumn="0"/>
              <w:rPr>
                <w:noProof/>
                <w:lang w:val="en-IE"/>
              </w:rPr>
            </w:pPr>
          </w:p>
        </w:tc>
      </w:tr>
      <w:tr w:rsidR="00F8725A" w:rsidTr="00F8725A">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F8725A" w:rsidRDefault="00BE7D43">
            <w:pPr>
              <w:jc w:val="center"/>
              <w:rPr>
                <w:noProof/>
              </w:rPr>
            </w:pPr>
            <w:r>
              <w:rPr>
                <w:noProof/>
              </w:rPr>
              <w:t>6</w:t>
            </w:r>
          </w:p>
        </w:tc>
        <w:tc>
          <w:tcPr>
            <w:tcW w:w="2552" w:type="dxa"/>
            <w:vMerge/>
          </w:tcPr>
          <w:p w:rsidR="00F8725A" w:rsidRDefault="00F8725A">
            <w:pPr>
              <w:cnfStyle w:val="000000000000" w:firstRow="0" w:lastRow="0" w:firstColumn="0" w:lastColumn="0" w:oddVBand="0" w:evenVBand="0" w:oddHBand="0" w:evenHBand="0" w:firstRowFirstColumn="0" w:firstRowLastColumn="0" w:lastRowFirstColumn="0" w:lastRowLastColumn="0"/>
              <w:rPr>
                <w:noProof/>
                <w:lang w:val="en-IE"/>
              </w:rPr>
            </w:pPr>
          </w:p>
        </w:tc>
        <w:tc>
          <w:tcPr>
            <w:tcW w:w="1276" w:type="dxa"/>
            <w:vMerge/>
          </w:tcPr>
          <w:p w:rsidR="00F8725A" w:rsidRDefault="00F8725A">
            <w:pPr>
              <w:cnfStyle w:val="000000000000" w:firstRow="0" w:lastRow="0" w:firstColumn="0" w:lastColumn="0" w:oddVBand="0" w:evenVBand="0" w:oddHBand="0" w:evenHBand="0" w:firstRowFirstColumn="0" w:firstRowLastColumn="0" w:lastRowFirstColumn="0" w:lastRowLastColumn="0"/>
              <w:rPr>
                <w:noProof/>
                <w:lang w:val="en-IE"/>
              </w:rPr>
            </w:pPr>
          </w:p>
        </w:tc>
        <w:tc>
          <w:tcPr>
            <w:tcW w:w="2835" w:type="dxa"/>
            <w:vMerge/>
            <w:shd w:val="clear" w:color="auto" w:fill="FFFFFF" w:themeFill="background1"/>
          </w:tcPr>
          <w:p w:rsidR="00F8725A" w:rsidRDefault="00F8725A">
            <w:pPr>
              <w:cnfStyle w:val="000000000000" w:firstRow="0" w:lastRow="0" w:firstColumn="0" w:lastColumn="0" w:oddVBand="0" w:evenVBand="0" w:oddHBand="0" w:evenHBand="0" w:firstRowFirstColumn="0" w:firstRowLastColumn="0" w:lastRowFirstColumn="0" w:lastRowLastColumn="0"/>
              <w:rPr>
                <w:noProof/>
                <w:lang w:val="en-IE"/>
              </w:rPr>
            </w:pPr>
          </w:p>
        </w:tc>
      </w:tr>
      <w:tr w:rsidR="00F8725A" w:rsidTr="00F872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F8725A" w:rsidRDefault="00BE7D43">
            <w:pPr>
              <w:jc w:val="center"/>
              <w:rPr>
                <w:noProof/>
              </w:rPr>
            </w:pPr>
            <w:r>
              <w:rPr>
                <w:noProof/>
              </w:rPr>
              <w:t>5</w:t>
            </w:r>
          </w:p>
        </w:tc>
        <w:tc>
          <w:tcPr>
            <w:tcW w:w="2552" w:type="dxa"/>
            <w:vMerge/>
          </w:tcPr>
          <w:p w:rsidR="00F8725A" w:rsidRDefault="00F8725A">
            <w:pPr>
              <w:cnfStyle w:val="000000100000" w:firstRow="0" w:lastRow="0" w:firstColumn="0" w:lastColumn="0" w:oddVBand="0" w:evenVBand="0" w:oddHBand="1" w:evenHBand="0" w:firstRowFirstColumn="0" w:firstRowLastColumn="0" w:lastRowFirstColumn="0" w:lastRowLastColumn="0"/>
              <w:rPr>
                <w:noProof/>
                <w:lang w:val="en-IE"/>
              </w:rPr>
            </w:pPr>
          </w:p>
        </w:tc>
        <w:tc>
          <w:tcPr>
            <w:tcW w:w="1276" w:type="dxa"/>
            <w:vMerge/>
          </w:tcPr>
          <w:p w:rsidR="00F8725A" w:rsidRDefault="00F8725A">
            <w:pPr>
              <w:cnfStyle w:val="000000100000" w:firstRow="0" w:lastRow="0" w:firstColumn="0" w:lastColumn="0" w:oddVBand="0" w:evenVBand="0" w:oddHBand="1" w:evenHBand="0" w:firstRowFirstColumn="0" w:firstRowLastColumn="0" w:lastRowFirstColumn="0" w:lastRowLastColumn="0"/>
              <w:rPr>
                <w:noProof/>
                <w:lang w:val="en-IE"/>
              </w:rPr>
            </w:pPr>
          </w:p>
        </w:tc>
        <w:tc>
          <w:tcPr>
            <w:tcW w:w="2835" w:type="dxa"/>
            <w:vMerge w:val="restart"/>
            <w:vAlign w:val="center"/>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Agent</w:t>
            </w:r>
          </w:p>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d’appui</w:t>
            </w:r>
          </w:p>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en transition</w:t>
            </w:r>
          </w:p>
        </w:tc>
      </w:tr>
      <w:tr w:rsidR="00F8725A" w:rsidTr="00F8725A">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F8725A" w:rsidRDefault="00BE7D43">
            <w:pPr>
              <w:jc w:val="center"/>
              <w:rPr>
                <w:noProof/>
              </w:rPr>
            </w:pPr>
            <w:r>
              <w:rPr>
                <w:noProof/>
              </w:rPr>
              <w:t>4</w:t>
            </w:r>
          </w:p>
        </w:tc>
        <w:tc>
          <w:tcPr>
            <w:tcW w:w="2552" w:type="dxa"/>
            <w:vMerge/>
          </w:tcPr>
          <w:p w:rsidR="00F8725A" w:rsidRDefault="00F8725A">
            <w:pPr>
              <w:cnfStyle w:val="000000000000" w:firstRow="0" w:lastRow="0" w:firstColumn="0" w:lastColumn="0" w:oddVBand="0" w:evenVBand="0" w:oddHBand="0" w:evenHBand="0" w:firstRowFirstColumn="0" w:firstRowLastColumn="0" w:lastRowFirstColumn="0" w:lastRowLastColumn="0"/>
              <w:rPr>
                <w:noProof/>
                <w:lang w:val="en-IE"/>
              </w:rPr>
            </w:pPr>
          </w:p>
        </w:tc>
        <w:tc>
          <w:tcPr>
            <w:tcW w:w="1276" w:type="dxa"/>
            <w:vMerge/>
          </w:tcPr>
          <w:p w:rsidR="00F8725A" w:rsidRDefault="00F8725A">
            <w:pPr>
              <w:cnfStyle w:val="000000000000" w:firstRow="0" w:lastRow="0" w:firstColumn="0" w:lastColumn="0" w:oddVBand="0" w:evenVBand="0" w:oddHBand="0" w:evenHBand="0" w:firstRowFirstColumn="0" w:firstRowLastColumn="0" w:lastRowFirstColumn="0" w:lastRowLastColumn="0"/>
              <w:rPr>
                <w:noProof/>
                <w:lang w:val="en-IE"/>
              </w:rPr>
            </w:pPr>
          </w:p>
        </w:tc>
        <w:tc>
          <w:tcPr>
            <w:tcW w:w="2835" w:type="dxa"/>
            <w:vMerge/>
          </w:tcPr>
          <w:p w:rsidR="00F8725A" w:rsidRDefault="00F8725A">
            <w:pPr>
              <w:cnfStyle w:val="000000000000" w:firstRow="0" w:lastRow="0" w:firstColumn="0" w:lastColumn="0" w:oddVBand="0" w:evenVBand="0" w:oddHBand="0" w:evenHBand="0" w:firstRowFirstColumn="0" w:firstRowLastColumn="0" w:lastRowFirstColumn="0" w:lastRowLastColumn="0"/>
              <w:rPr>
                <w:noProof/>
                <w:lang w:val="en-IE"/>
              </w:rPr>
            </w:pPr>
          </w:p>
        </w:tc>
      </w:tr>
      <w:tr w:rsidR="00F8725A" w:rsidTr="00F872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F8725A" w:rsidRDefault="00BE7D43">
            <w:pPr>
              <w:jc w:val="center"/>
              <w:rPr>
                <w:noProof/>
              </w:rPr>
            </w:pPr>
            <w:r>
              <w:rPr>
                <w:noProof/>
              </w:rPr>
              <w:t>3</w:t>
            </w:r>
          </w:p>
        </w:tc>
        <w:tc>
          <w:tcPr>
            <w:tcW w:w="2552" w:type="dxa"/>
            <w:vMerge/>
          </w:tcPr>
          <w:p w:rsidR="00F8725A" w:rsidRDefault="00F8725A">
            <w:pPr>
              <w:cnfStyle w:val="000000100000" w:firstRow="0" w:lastRow="0" w:firstColumn="0" w:lastColumn="0" w:oddVBand="0" w:evenVBand="0" w:oddHBand="1" w:evenHBand="0" w:firstRowFirstColumn="0" w:firstRowLastColumn="0" w:lastRowFirstColumn="0" w:lastRowLastColumn="0"/>
              <w:rPr>
                <w:noProof/>
                <w:lang w:val="en-IE"/>
              </w:rPr>
            </w:pPr>
          </w:p>
        </w:tc>
        <w:tc>
          <w:tcPr>
            <w:tcW w:w="1276" w:type="dxa"/>
            <w:vMerge/>
          </w:tcPr>
          <w:p w:rsidR="00F8725A" w:rsidRDefault="00F8725A">
            <w:pPr>
              <w:cnfStyle w:val="000000100000" w:firstRow="0" w:lastRow="0" w:firstColumn="0" w:lastColumn="0" w:oddVBand="0" w:evenVBand="0" w:oddHBand="1" w:evenHBand="0" w:firstRowFirstColumn="0" w:firstRowLastColumn="0" w:lastRowFirstColumn="0" w:lastRowLastColumn="0"/>
              <w:rPr>
                <w:noProof/>
                <w:lang w:val="en-IE"/>
              </w:rPr>
            </w:pPr>
          </w:p>
        </w:tc>
        <w:tc>
          <w:tcPr>
            <w:tcW w:w="2835" w:type="dxa"/>
            <w:vMerge/>
          </w:tcPr>
          <w:p w:rsidR="00F8725A" w:rsidRDefault="00F8725A">
            <w:pPr>
              <w:cnfStyle w:val="000000100000" w:firstRow="0" w:lastRow="0" w:firstColumn="0" w:lastColumn="0" w:oddVBand="0" w:evenVBand="0" w:oddHBand="1" w:evenHBand="0" w:firstRowFirstColumn="0" w:firstRowLastColumn="0" w:lastRowFirstColumn="0" w:lastRowLastColumn="0"/>
              <w:rPr>
                <w:noProof/>
                <w:lang w:val="en-IE"/>
              </w:rPr>
            </w:pPr>
          </w:p>
        </w:tc>
      </w:tr>
      <w:tr w:rsidR="00F8725A" w:rsidTr="00F8725A">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F8725A" w:rsidRDefault="00BE7D43">
            <w:pPr>
              <w:jc w:val="center"/>
              <w:rPr>
                <w:noProof/>
              </w:rPr>
            </w:pPr>
            <w:r>
              <w:rPr>
                <w:noProof/>
              </w:rPr>
              <w:t>2</w:t>
            </w:r>
          </w:p>
        </w:tc>
        <w:tc>
          <w:tcPr>
            <w:tcW w:w="2552" w:type="dxa"/>
            <w:vMerge/>
          </w:tcPr>
          <w:p w:rsidR="00F8725A" w:rsidRDefault="00F8725A">
            <w:pPr>
              <w:cnfStyle w:val="000000000000" w:firstRow="0" w:lastRow="0" w:firstColumn="0" w:lastColumn="0" w:oddVBand="0" w:evenVBand="0" w:oddHBand="0" w:evenHBand="0" w:firstRowFirstColumn="0" w:firstRowLastColumn="0" w:lastRowFirstColumn="0" w:lastRowLastColumn="0"/>
              <w:rPr>
                <w:noProof/>
                <w:lang w:val="en-IE"/>
              </w:rPr>
            </w:pPr>
          </w:p>
        </w:tc>
        <w:tc>
          <w:tcPr>
            <w:tcW w:w="1276" w:type="dxa"/>
            <w:vMerge/>
          </w:tcPr>
          <w:p w:rsidR="00F8725A" w:rsidRDefault="00F8725A">
            <w:pPr>
              <w:cnfStyle w:val="000000000000" w:firstRow="0" w:lastRow="0" w:firstColumn="0" w:lastColumn="0" w:oddVBand="0" w:evenVBand="0" w:oddHBand="0" w:evenHBand="0" w:firstRowFirstColumn="0" w:firstRowLastColumn="0" w:lastRowFirstColumn="0" w:lastRowLastColumn="0"/>
              <w:rPr>
                <w:noProof/>
                <w:lang w:val="en-IE"/>
              </w:rPr>
            </w:pPr>
          </w:p>
        </w:tc>
        <w:tc>
          <w:tcPr>
            <w:tcW w:w="2835" w:type="dxa"/>
            <w:vMerge/>
          </w:tcPr>
          <w:p w:rsidR="00F8725A" w:rsidRDefault="00F8725A">
            <w:pPr>
              <w:cnfStyle w:val="000000000000" w:firstRow="0" w:lastRow="0" w:firstColumn="0" w:lastColumn="0" w:oddVBand="0" w:evenVBand="0" w:oddHBand="0" w:evenHBand="0" w:firstRowFirstColumn="0" w:firstRowLastColumn="0" w:lastRowFirstColumn="0" w:lastRowLastColumn="0"/>
              <w:rPr>
                <w:noProof/>
                <w:lang w:val="en-IE"/>
              </w:rPr>
            </w:pPr>
          </w:p>
        </w:tc>
      </w:tr>
      <w:tr w:rsidR="00F8725A" w:rsidTr="00F872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F8725A" w:rsidRDefault="00BE7D43">
            <w:pPr>
              <w:jc w:val="center"/>
              <w:rPr>
                <w:noProof/>
              </w:rPr>
            </w:pPr>
            <w:r>
              <w:rPr>
                <w:noProof/>
              </w:rPr>
              <w:t>1</w:t>
            </w:r>
          </w:p>
        </w:tc>
        <w:tc>
          <w:tcPr>
            <w:tcW w:w="2552" w:type="dxa"/>
            <w:vMerge/>
          </w:tcPr>
          <w:p w:rsidR="00F8725A" w:rsidRDefault="00F8725A">
            <w:pPr>
              <w:cnfStyle w:val="000000100000" w:firstRow="0" w:lastRow="0" w:firstColumn="0" w:lastColumn="0" w:oddVBand="0" w:evenVBand="0" w:oddHBand="1" w:evenHBand="0" w:firstRowFirstColumn="0" w:firstRowLastColumn="0" w:lastRowFirstColumn="0" w:lastRowLastColumn="0"/>
              <w:rPr>
                <w:noProof/>
                <w:lang w:val="en-IE"/>
              </w:rPr>
            </w:pPr>
          </w:p>
        </w:tc>
        <w:tc>
          <w:tcPr>
            <w:tcW w:w="1276" w:type="dxa"/>
            <w:vMerge/>
          </w:tcPr>
          <w:p w:rsidR="00F8725A" w:rsidRDefault="00F8725A">
            <w:pPr>
              <w:cnfStyle w:val="000000100000" w:firstRow="0" w:lastRow="0" w:firstColumn="0" w:lastColumn="0" w:oddVBand="0" w:evenVBand="0" w:oddHBand="1" w:evenHBand="0" w:firstRowFirstColumn="0" w:firstRowLastColumn="0" w:lastRowFirstColumn="0" w:lastRowLastColumn="0"/>
              <w:rPr>
                <w:noProof/>
                <w:lang w:val="en-IE"/>
              </w:rPr>
            </w:pPr>
          </w:p>
        </w:tc>
        <w:tc>
          <w:tcPr>
            <w:tcW w:w="2835" w:type="dxa"/>
            <w:vMerge/>
          </w:tcPr>
          <w:p w:rsidR="00F8725A" w:rsidRDefault="00F8725A">
            <w:pPr>
              <w:cnfStyle w:val="000000100000" w:firstRow="0" w:lastRow="0" w:firstColumn="0" w:lastColumn="0" w:oddVBand="0" w:evenVBand="0" w:oddHBand="1" w:evenHBand="0" w:firstRowFirstColumn="0" w:firstRowLastColumn="0" w:lastRowFirstColumn="0" w:lastRowLastColumn="0"/>
              <w:rPr>
                <w:noProof/>
                <w:lang w:val="en-IE"/>
              </w:rPr>
            </w:pPr>
          </w:p>
        </w:tc>
      </w:tr>
    </w:tbl>
    <w:p w:rsidR="00F8725A" w:rsidRDefault="00F8725A">
      <w:pPr>
        <w:rPr>
          <w:noProof/>
          <w:lang w:val="en-IE"/>
        </w:rPr>
      </w:pPr>
    </w:p>
    <w:p w:rsidR="00F8725A" w:rsidRDefault="00BE7D43">
      <w:pPr>
        <w:spacing w:after="160" w:line="259" w:lineRule="auto"/>
        <w:jc w:val="left"/>
        <w:rPr>
          <w:b/>
          <w:noProof/>
        </w:rPr>
      </w:pPr>
      <w:r>
        <w:rPr>
          <w:noProof/>
        </w:rPr>
        <w:br w:type="page"/>
      </w:r>
    </w:p>
    <w:p w:rsidR="00F8725A" w:rsidRDefault="00F8725A">
      <w:pPr>
        <w:rPr>
          <w:b/>
          <w:noProof/>
          <w:lang w:val="en-IE"/>
        </w:rPr>
        <w:sectPr w:rsidR="00F8725A">
          <w:headerReference w:type="even" r:id="rId49"/>
          <w:headerReference w:type="default" r:id="rId50"/>
          <w:footerReference w:type="even" r:id="rId51"/>
          <w:footerReference w:type="default" r:id="rId52"/>
          <w:headerReference w:type="first" r:id="rId53"/>
          <w:footerReference w:type="first" r:id="rId54"/>
          <w:pgSz w:w="16838" w:h="11906" w:orient="landscape"/>
          <w:pgMar w:top="709" w:right="1440" w:bottom="1440" w:left="1440" w:header="708" w:footer="708" w:gutter="0"/>
          <w:cols w:space="708"/>
          <w:docGrid w:linePitch="360"/>
        </w:sectPr>
      </w:pPr>
    </w:p>
    <w:p w:rsidR="00F8725A" w:rsidRDefault="00BE7D43">
      <w:pPr>
        <w:rPr>
          <w:b/>
          <w:noProof/>
        </w:rPr>
      </w:pPr>
      <w:r>
        <w:rPr>
          <w:b/>
          <w:noProof/>
        </w:rPr>
        <w:t>Annexe 17: évolution du personnel AST et AST/SC</w:t>
      </w:r>
    </w:p>
    <w:tbl>
      <w:tblPr>
        <w:tblStyle w:val="GridTable4-Accent510"/>
        <w:tblW w:w="0" w:type="auto"/>
        <w:tblLook w:val="04A0" w:firstRow="1" w:lastRow="0" w:firstColumn="1" w:lastColumn="0" w:noHBand="0" w:noVBand="1"/>
      </w:tblPr>
      <w:tblGrid>
        <w:gridCol w:w="2460"/>
        <w:gridCol w:w="1438"/>
        <w:gridCol w:w="1468"/>
        <w:gridCol w:w="1468"/>
        <w:gridCol w:w="1468"/>
        <w:gridCol w:w="1468"/>
        <w:gridCol w:w="1468"/>
        <w:gridCol w:w="1468"/>
        <w:gridCol w:w="1468"/>
      </w:tblGrid>
      <w:tr w:rsidR="00F8725A" w:rsidTr="00F8725A">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05" w:type="dxa"/>
          </w:tcPr>
          <w:p w:rsidR="00F8725A" w:rsidRDefault="00BE7D43">
            <w:pPr>
              <w:jc w:val="center"/>
              <w:rPr>
                <w:noProof/>
              </w:rPr>
            </w:pPr>
            <w:r>
              <w:rPr>
                <w:noProof/>
              </w:rPr>
              <w:t>Emploi type</w:t>
            </w:r>
          </w:p>
        </w:tc>
        <w:tc>
          <w:tcPr>
            <w:tcW w:w="2995" w:type="dxa"/>
            <w:gridSpan w:val="2"/>
          </w:tcPr>
          <w:p w:rsidR="00F8725A" w:rsidRDefault="00BE7D43">
            <w:pPr>
              <w:jc w:val="center"/>
              <w:cnfStyle w:val="100000000000" w:firstRow="1" w:lastRow="0" w:firstColumn="0" w:lastColumn="0" w:oddVBand="0" w:evenVBand="0" w:oddHBand="0" w:evenHBand="0" w:firstRowFirstColumn="0" w:firstRowLastColumn="0" w:lastRowFirstColumn="0" w:lastRowLastColumn="0"/>
              <w:rPr>
                <w:noProof/>
              </w:rPr>
            </w:pPr>
            <w:r>
              <w:rPr>
                <w:noProof/>
              </w:rPr>
              <w:t>Assistant confirmé en transition</w:t>
            </w:r>
          </w:p>
          <w:p w:rsidR="00F8725A" w:rsidRDefault="00BE7D43">
            <w:pPr>
              <w:jc w:val="center"/>
              <w:cnfStyle w:val="100000000000" w:firstRow="1" w:lastRow="0" w:firstColumn="0" w:lastColumn="0" w:oddVBand="0" w:evenVBand="0" w:oddHBand="0" w:evenHBand="0" w:firstRowFirstColumn="0" w:firstRowLastColumn="0" w:lastRowFirstColumn="0" w:lastRowLastColumn="0"/>
              <w:rPr>
                <w:noProof/>
              </w:rPr>
            </w:pPr>
            <w:r>
              <w:rPr>
                <w:noProof/>
              </w:rPr>
              <w:t>(AST 10 – AST 11)</w:t>
            </w:r>
          </w:p>
        </w:tc>
        <w:tc>
          <w:tcPr>
            <w:tcW w:w="3038" w:type="dxa"/>
            <w:gridSpan w:val="2"/>
          </w:tcPr>
          <w:p w:rsidR="00F8725A" w:rsidRDefault="00BE7D43">
            <w:pPr>
              <w:jc w:val="center"/>
              <w:cnfStyle w:val="100000000000" w:firstRow="1" w:lastRow="0" w:firstColumn="0" w:lastColumn="0" w:oddVBand="0" w:evenVBand="0" w:oddHBand="0" w:evenHBand="0" w:firstRowFirstColumn="0" w:firstRowLastColumn="0" w:lastRowFirstColumn="0" w:lastRowLastColumn="0"/>
              <w:rPr>
                <w:noProof/>
              </w:rPr>
            </w:pPr>
            <w:r>
              <w:rPr>
                <w:noProof/>
              </w:rPr>
              <w:t>Assistant en transition</w:t>
            </w:r>
          </w:p>
          <w:p w:rsidR="00F8725A" w:rsidRDefault="00BE7D43">
            <w:pPr>
              <w:jc w:val="center"/>
              <w:cnfStyle w:val="100000000000" w:firstRow="1" w:lastRow="0" w:firstColumn="0" w:lastColumn="0" w:oddVBand="0" w:evenVBand="0" w:oddHBand="0" w:evenHBand="0" w:firstRowFirstColumn="0" w:firstRowLastColumn="0" w:lastRowFirstColumn="0" w:lastRowLastColumn="0"/>
              <w:rPr>
                <w:noProof/>
              </w:rPr>
            </w:pPr>
            <w:r>
              <w:rPr>
                <w:noProof/>
              </w:rPr>
              <w:t>(AST 1 – AST 9)</w:t>
            </w:r>
          </w:p>
        </w:tc>
        <w:tc>
          <w:tcPr>
            <w:tcW w:w="3038" w:type="dxa"/>
            <w:gridSpan w:val="2"/>
          </w:tcPr>
          <w:p w:rsidR="00F8725A" w:rsidRDefault="00BE7D43">
            <w:pPr>
              <w:jc w:val="center"/>
              <w:cnfStyle w:val="100000000000" w:firstRow="1" w:lastRow="0" w:firstColumn="0" w:lastColumn="0" w:oddVBand="0" w:evenVBand="0" w:oddHBand="0" w:evenHBand="0" w:firstRowFirstColumn="0" w:firstRowLastColumn="0" w:lastRowFirstColumn="0" w:lastRowLastColumn="0"/>
              <w:rPr>
                <w:noProof/>
              </w:rPr>
            </w:pPr>
            <w:r>
              <w:rPr>
                <w:noProof/>
              </w:rPr>
              <w:t>Assistant administratif en transition</w:t>
            </w:r>
          </w:p>
          <w:p w:rsidR="00F8725A" w:rsidRDefault="00BE7D43">
            <w:pPr>
              <w:jc w:val="center"/>
              <w:cnfStyle w:val="100000000000" w:firstRow="1" w:lastRow="0" w:firstColumn="0" w:lastColumn="0" w:oddVBand="0" w:evenVBand="0" w:oddHBand="0" w:evenHBand="0" w:firstRowFirstColumn="0" w:firstRowLastColumn="0" w:lastRowFirstColumn="0" w:lastRowLastColumn="0"/>
              <w:rPr>
                <w:noProof/>
              </w:rPr>
            </w:pPr>
            <w:r>
              <w:rPr>
                <w:noProof/>
              </w:rPr>
              <w:t>(AST 1 – AST 7)</w:t>
            </w:r>
          </w:p>
        </w:tc>
        <w:tc>
          <w:tcPr>
            <w:tcW w:w="3038" w:type="dxa"/>
            <w:gridSpan w:val="2"/>
          </w:tcPr>
          <w:p w:rsidR="00F8725A" w:rsidRDefault="00BE7D43">
            <w:pPr>
              <w:jc w:val="center"/>
              <w:cnfStyle w:val="100000000000" w:firstRow="1" w:lastRow="0" w:firstColumn="0" w:lastColumn="0" w:oddVBand="0" w:evenVBand="0" w:oddHBand="0" w:evenHBand="0" w:firstRowFirstColumn="0" w:firstRowLastColumn="0" w:lastRowFirstColumn="0" w:lastRowLastColumn="0"/>
              <w:rPr>
                <w:noProof/>
              </w:rPr>
            </w:pPr>
            <w:r>
              <w:rPr>
                <w:noProof/>
              </w:rPr>
              <w:t>Agent d’appui en transition</w:t>
            </w:r>
          </w:p>
          <w:p w:rsidR="00F8725A" w:rsidRDefault="00BE7D43">
            <w:pPr>
              <w:jc w:val="center"/>
              <w:cnfStyle w:val="100000000000" w:firstRow="1" w:lastRow="0" w:firstColumn="0" w:lastColumn="0" w:oddVBand="0" w:evenVBand="0" w:oddHBand="0" w:evenHBand="0" w:firstRowFirstColumn="0" w:firstRowLastColumn="0" w:lastRowFirstColumn="0" w:lastRowLastColumn="0"/>
              <w:rPr>
                <w:noProof/>
              </w:rPr>
            </w:pPr>
            <w:r>
              <w:rPr>
                <w:noProof/>
              </w:rPr>
              <w:t>(AST 1 – AST 5)</w:t>
            </w:r>
          </w:p>
        </w:tc>
      </w:tr>
      <w:tr w:rsidR="00F8725A" w:rsidTr="00F87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05" w:type="dxa"/>
          </w:tcPr>
          <w:p w:rsidR="00F8725A" w:rsidRDefault="00F8725A">
            <w:pPr>
              <w:spacing w:line="259" w:lineRule="auto"/>
              <w:rPr>
                <w:noProof/>
                <w:lang w:val="fr-BE"/>
              </w:rPr>
            </w:pPr>
          </w:p>
        </w:tc>
        <w:tc>
          <w:tcPr>
            <w:tcW w:w="1476" w:type="dxa"/>
          </w:tcPr>
          <w:p w:rsidR="00F8725A" w:rsidRDefault="00BE7D43">
            <w:pPr>
              <w:spacing w:line="259" w:lineRule="auto"/>
              <w:jc w:val="center"/>
              <w:cnfStyle w:val="000000100000" w:firstRow="0" w:lastRow="0" w:firstColumn="0" w:lastColumn="0" w:oddVBand="0" w:evenVBand="0" w:oddHBand="1" w:evenHBand="0" w:firstRowFirstColumn="0" w:firstRowLastColumn="0" w:lastRowFirstColumn="0" w:lastRowLastColumn="0"/>
              <w:rPr>
                <w:noProof/>
              </w:rPr>
            </w:pPr>
            <w:r>
              <w:rPr>
                <w:noProof/>
              </w:rPr>
              <w:t>Effectifs au 1/1/2014</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Effectifs au 1/1/2020</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Effectifs au 1/1/2014</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Effectifs au 1/1/2020</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Effectifs au 1/1/2014</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Effectifs au 1/1/2020</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Effectifs au 1/1/2014</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Effectifs au 1/1/2020</w:t>
            </w:r>
          </w:p>
        </w:tc>
      </w:tr>
      <w:tr w:rsidR="00F8725A" w:rsidTr="00F8725A">
        <w:trPr>
          <w:trHeight w:val="397"/>
        </w:trPr>
        <w:tc>
          <w:tcPr>
            <w:cnfStyle w:val="001000000000" w:firstRow="0" w:lastRow="0" w:firstColumn="1" w:lastColumn="0" w:oddVBand="0" w:evenVBand="0" w:oddHBand="0" w:evenHBand="0" w:firstRowFirstColumn="0" w:firstRowLastColumn="0" w:lastRowFirstColumn="0" w:lastRowLastColumn="0"/>
            <w:tcW w:w="2905" w:type="dxa"/>
            <w:hideMark/>
          </w:tcPr>
          <w:p w:rsidR="00F8725A" w:rsidRDefault="00BE7D43">
            <w:pPr>
              <w:spacing w:line="259" w:lineRule="auto"/>
              <w:rPr>
                <w:noProof/>
              </w:rPr>
            </w:pPr>
            <w:r>
              <w:rPr>
                <w:noProof/>
              </w:rPr>
              <w:t>Commission</w:t>
            </w:r>
          </w:p>
        </w:tc>
        <w:tc>
          <w:tcPr>
            <w:tcW w:w="1476" w:type="dxa"/>
          </w:tcPr>
          <w:p w:rsidR="00F8725A" w:rsidRDefault="00BE7D43">
            <w:pPr>
              <w:spacing w:line="259" w:lineRule="auto"/>
              <w:jc w:val="center"/>
              <w:cnfStyle w:val="000000000000" w:firstRow="0" w:lastRow="0" w:firstColumn="0" w:lastColumn="0" w:oddVBand="0" w:evenVBand="0" w:oddHBand="0" w:evenHBand="0" w:firstRowFirstColumn="0" w:firstRowLastColumn="0" w:lastRowFirstColumn="0" w:lastRowLastColumn="0"/>
              <w:rPr>
                <w:noProof/>
              </w:rPr>
            </w:pPr>
            <w:r>
              <w:rPr>
                <w:noProof/>
              </w:rPr>
              <w:t>529</w:t>
            </w:r>
          </w:p>
        </w:tc>
        <w:tc>
          <w:tcPr>
            <w:tcW w:w="1519" w:type="dxa"/>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124</w:t>
            </w:r>
          </w:p>
        </w:tc>
        <w:tc>
          <w:tcPr>
            <w:tcW w:w="1519" w:type="dxa"/>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8.217</w:t>
            </w:r>
          </w:p>
        </w:tc>
        <w:tc>
          <w:tcPr>
            <w:tcW w:w="1519" w:type="dxa"/>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4.626</w:t>
            </w:r>
          </w:p>
        </w:tc>
        <w:tc>
          <w:tcPr>
            <w:tcW w:w="1519" w:type="dxa"/>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1.320</w:t>
            </w:r>
          </w:p>
        </w:tc>
        <w:tc>
          <w:tcPr>
            <w:tcW w:w="1519" w:type="dxa"/>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559</w:t>
            </w:r>
          </w:p>
        </w:tc>
        <w:tc>
          <w:tcPr>
            <w:tcW w:w="1519" w:type="dxa"/>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257</w:t>
            </w:r>
          </w:p>
        </w:tc>
        <w:tc>
          <w:tcPr>
            <w:tcW w:w="1519" w:type="dxa"/>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146</w:t>
            </w:r>
          </w:p>
        </w:tc>
      </w:tr>
      <w:tr w:rsidR="00F8725A" w:rsidTr="00F87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05" w:type="dxa"/>
            <w:hideMark/>
          </w:tcPr>
          <w:p w:rsidR="00F8725A" w:rsidRDefault="00BE7D43">
            <w:pPr>
              <w:spacing w:line="259" w:lineRule="auto"/>
              <w:rPr>
                <w:noProof/>
              </w:rPr>
            </w:pPr>
            <w:r>
              <w:rPr>
                <w:noProof/>
              </w:rPr>
              <w:t>Parlement européen</w:t>
            </w:r>
          </w:p>
        </w:tc>
        <w:tc>
          <w:tcPr>
            <w:tcW w:w="1476" w:type="dxa"/>
          </w:tcPr>
          <w:p w:rsidR="00F8725A" w:rsidRDefault="00BE7D43">
            <w:pPr>
              <w:spacing w:line="259" w:lineRule="auto"/>
              <w:jc w:val="center"/>
              <w:cnfStyle w:val="000000100000" w:firstRow="0" w:lastRow="0" w:firstColumn="0" w:lastColumn="0" w:oddVBand="0" w:evenVBand="0" w:oddHBand="1" w:evenHBand="0" w:firstRowFirstColumn="0" w:firstRowLastColumn="0" w:lastRowFirstColumn="0" w:lastRowLastColumn="0"/>
              <w:rPr>
                <w:noProof/>
              </w:rPr>
            </w:pPr>
            <w:r>
              <w:rPr>
                <w:noProof/>
              </w:rPr>
              <w:t>108</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41</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2629</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1431</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63</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13</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6</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2</w:t>
            </w:r>
          </w:p>
        </w:tc>
      </w:tr>
      <w:tr w:rsidR="00F8725A" w:rsidTr="00F8725A">
        <w:trPr>
          <w:trHeight w:val="397"/>
        </w:trPr>
        <w:tc>
          <w:tcPr>
            <w:cnfStyle w:val="001000000000" w:firstRow="0" w:lastRow="0" w:firstColumn="1" w:lastColumn="0" w:oddVBand="0" w:evenVBand="0" w:oddHBand="0" w:evenHBand="0" w:firstRowFirstColumn="0" w:firstRowLastColumn="0" w:lastRowFirstColumn="0" w:lastRowLastColumn="0"/>
            <w:tcW w:w="2905" w:type="dxa"/>
            <w:hideMark/>
          </w:tcPr>
          <w:p w:rsidR="00F8725A" w:rsidRDefault="00BE7D43">
            <w:pPr>
              <w:spacing w:line="259" w:lineRule="auto"/>
              <w:rPr>
                <w:noProof/>
              </w:rPr>
            </w:pPr>
            <w:r>
              <w:rPr>
                <w:noProof/>
              </w:rPr>
              <w:t>Conseil</w:t>
            </w:r>
          </w:p>
        </w:tc>
        <w:tc>
          <w:tcPr>
            <w:tcW w:w="1476" w:type="dxa"/>
          </w:tcPr>
          <w:p w:rsidR="00F8725A" w:rsidRDefault="00BE7D43">
            <w:pPr>
              <w:spacing w:line="259" w:lineRule="auto"/>
              <w:jc w:val="center"/>
              <w:cnfStyle w:val="000000000000" w:firstRow="0" w:lastRow="0" w:firstColumn="0" w:lastColumn="0" w:oddVBand="0" w:evenVBand="0" w:oddHBand="0" w:evenHBand="0" w:firstRowFirstColumn="0" w:firstRowLastColumn="0" w:lastRowFirstColumn="0" w:lastRowLastColumn="0"/>
              <w:rPr>
                <w:noProof/>
              </w:rPr>
            </w:pPr>
            <w:r>
              <w:rPr>
                <w:noProof/>
              </w:rPr>
              <w:t>34</w:t>
            </w:r>
          </w:p>
        </w:tc>
        <w:tc>
          <w:tcPr>
            <w:tcW w:w="1519" w:type="dxa"/>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12</w:t>
            </w:r>
          </w:p>
        </w:tc>
        <w:tc>
          <w:tcPr>
            <w:tcW w:w="1519" w:type="dxa"/>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1181</w:t>
            </w:r>
          </w:p>
        </w:tc>
        <w:tc>
          <w:tcPr>
            <w:tcW w:w="1519" w:type="dxa"/>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664</w:t>
            </w:r>
          </w:p>
        </w:tc>
        <w:tc>
          <w:tcPr>
            <w:tcW w:w="1519" w:type="dxa"/>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238</w:t>
            </w:r>
          </w:p>
        </w:tc>
        <w:tc>
          <w:tcPr>
            <w:tcW w:w="1519" w:type="dxa"/>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100</w:t>
            </w:r>
          </w:p>
        </w:tc>
        <w:tc>
          <w:tcPr>
            <w:tcW w:w="1519" w:type="dxa"/>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26</w:t>
            </w:r>
          </w:p>
        </w:tc>
        <w:tc>
          <w:tcPr>
            <w:tcW w:w="1519" w:type="dxa"/>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10</w:t>
            </w:r>
          </w:p>
        </w:tc>
      </w:tr>
      <w:tr w:rsidR="00F8725A" w:rsidTr="00F87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05" w:type="dxa"/>
          </w:tcPr>
          <w:p w:rsidR="00F8725A" w:rsidRDefault="00BE7D43">
            <w:pPr>
              <w:spacing w:line="259" w:lineRule="auto"/>
              <w:rPr>
                <w:noProof/>
              </w:rPr>
            </w:pPr>
            <w:r>
              <w:rPr>
                <w:noProof/>
              </w:rPr>
              <w:t>Cour de justice</w:t>
            </w:r>
          </w:p>
        </w:tc>
        <w:tc>
          <w:tcPr>
            <w:tcW w:w="1476" w:type="dxa"/>
          </w:tcPr>
          <w:p w:rsidR="00F8725A" w:rsidRDefault="00BE7D43">
            <w:pPr>
              <w:spacing w:line="259" w:lineRule="auto"/>
              <w:jc w:val="center"/>
              <w:cnfStyle w:val="000000100000" w:firstRow="0" w:lastRow="0" w:firstColumn="0" w:lastColumn="0" w:oddVBand="0" w:evenVBand="0" w:oddHBand="1" w:evenHBand="0" w:firstRowFirstColumn="0" w:firstRowLastColumn="0" w:lastRowFirstColumn="0" w:lastRowLastColumn="0"/>
              <w:rPr>
                <w:noProof/>
              </w:rPr>
            </w:pPr>
            <w:r>
              <w:rPr>
                <w:noProof/>
              </w:rPr>
              <w:t>9</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11</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504</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463</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26</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14</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38</w:t>
            </w:r>
          </w:p>
        </w:tc>
        <w:tc>
          <w:tcPr>
            <w:tcW w:w="1519" w:type="dxa"/>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12</w:t>
            </w:r>
          </w:p>
        </w:tc>
      </w:tr>
      <w:tr w:rsidR="00F8725A" w:rsidTr="00F8725A">
        <w:trPr>
          <w:trHeight w:val="397"/>
        </w:trPr>
        <w:tc>
          <w:tcPr>
            <w:cnfStyle w:val="001000000000" w:firstRow="0" w:lastRow="0" w:firstColumn="1" w:lastColumn="0" w:oddVBand="0" w:evenVBand="0" w:oddHBand="0" w:evenHBand="0" w:firstRowFirstColumn="0" w:firstRowLastColumn="0" w:lastRowFirstColumn="0" w:lastRowLastColumn="0"/>
            <w:tcW w:w="2905" w:type="dxa"/>
            <w:tcBorders>
              <w:bottom w:val="single" w:sz="4" w:space="0" w:color="8EAADB"/>
            </w:tcBorders>
          </w:tcPr>
          <w:p w:rsidR="00F8725A" w:rsidRDefault="00BE7D43">
            <w:pPr>
              <w:jc w:val="left"/>
              <w:rPr>
                <w:noProof/>
              </w:rPr>
            </w:pPr>
            <w:r>
              <w:rPr>
                <w:noProof/>
              </w:rPr>
              <w:t>Cour des comptes</w:t>
            </w:r>
          </w:p>
        </w:tc>
        <w:tc>
          <w:tcPr>
            <w:tcW w:w="1476" w:type="dxa"/>
            <w:tcBorders>
              <w:bottom w:val="single" w:sz="4" w:space="0" w:color="8EAADB"/>
            </w:tcBorders>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11</w:t>
            </w:r>
          </w:p>
        </w:tc>
        <w:tc>
          <w:tcPr>
            <w:tcW w:w="1519" w:type="dxa"/>
            <w:tcBorders>
              <w:bottom w:val="single" w:sz="4" w:space="0" w:color="8EAADB"/>
            </w:tcBorders>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5</w:t>
            </w:r>
          </w:p>
        </w:tc>
        <w:tc>
          <w:tcPr>
            <w:tcW w:w="1519" w:type="dxa"/>
            <w:tcBorders>
              <w:bottom w:val="single" w:sz="4" w:space="0" w:color="8EAADB"/>
            </w:tcBorders>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229</w:t>
            </w:r>
          </w:p>
        </w:tc>
        <w:tc>
          <w:tcPr>
            <w:tcW w:w="1519" w:type="dxa"/>
            <w:tcBorders>
              <w:bottom w:val="single" w:sz="4" w:space="0" w:color="8EAADB"/>
            </w:tcBorders>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134</w:t>
            </w:r>
          </w:p>
        </w:tc>
        <w:tc>
          <w:tcPr>
            <w:tcW w:w="1519" w:type="dxa"/>
            <w:tcBorders>
              <w:bottom w:val="single" w:sz="4" w:space="0" w:color="8EAADB"/>
            </w:tcBorders>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10</w:t>
            </w:r>
          </w:p>
        </w:tc>
        <w:tc>
          <w:tcPr>
            <w:tcW w:w="1519" w:type="dxa"/>
            <w:tcBorders>
              <w:bottom w:val="single" w:sz="4" w:space="0" w:color="8EAADB"/>
            </w:tcBorders>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3</w:t>
            </w:r>
          </w:p>
        </w:tc>
        <w:tc>
          <w:tcPr>
            <w:tcW w:w="1519" w:type="dxa"/>
            <w:tcBorders>
              <w:bottom w:val="single" w:sz="4" w:space="0" w:color="8EAADB"/>
            </w:tcBorders>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11</w:t>
            </w:r>
          </w:p>
        </w:tc>
        <w:tc>
          <w:tcPr>
            <w:tcW w:w="1519" w:type="dxa"/>
            <w:tcBorders>
              <w:bottom w:val="single" w:sz="4" w:space="0" w:color="8EAADB"/>
            </w:tcBorders>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2</w:t>
            </w:r>
          </w:p>
        </w:tc>
      </w:tr>
      <w:tr w:rsidR="00F8725A" w:rsidTr="00F87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05"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left"/>
              <w:rPr>
                <w:noProof/>
              </w:rPr>
            </w:pPr>
            <w:r>
              <w:rPr>
                <w:noProof/>
              </w:rPr>
              <w:t>Comité des régions</w:t>
            </w:r>
          </w:p>
        </w:tc>
        <w:tc>
          <w:tcPr>
            <w:tcW w:w="1476"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4</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3</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161</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113</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7</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3</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w:t>
            </w:r>
          </w:p>
        </w:tc>
      </w:tr>
      <w:tr w:rsidR="00F8725A" w:rsidTr="00F8725A">
        <w:trPr>
          <w:trHeight w:val="397"/>
        </w:trPr>
        <w:tc>
          <w:tcPr>
            <w:cnfStyle w:val="001000000000" w:firstRow="0" w:lastRow="0" w:firstColumn="1" w:lastColumn="0" w:oddVBand="0" w:evenVBand="0" w:oddHBand="0" w:evenHBand="0" w:firstRowFirstColumn="0" w:firstRowLastColumn="0" w:lastRowFirstColumn="0" w:lastRowLastColumn="0"/>
            <w:tcW w:w="2905"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BE7D43">
            <w:pPr>
              <w:jc w:val="left"/>
              <w:rPr>
                <w:noProof/>
              </w:rPr>
            </w:pPr>
            <w:r>
              <w:rPr>
                <w:noProof/>
              </w:rPr>
              <w:t>Comité économique et social européen</w:t>
            </w:r>
          </w:p>
        </w:tc>
        <w:tc>
          <w:tcPr>
            <w:tcW w:w="1476"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8</w:t>
            </w:r>
          </w:p>
        </w:tc>
        <w:tc>
          <w:tcPr>
            <w:tcW w:w="1519"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3</w:t>
            </w:r>
          </w:p>
        </w:tc>
        <w:tc>
          <w:tcPr>
            <w:tcW w:w="1519"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286</w:t>
            </w:r>
          </w:p>
        </w:tc>
        <w:tc>
          <w:tcPr>
            <w:tcW w:w="1519"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180</w:t>
            </w:r>
          </w:p>
        </w:tc>
        <w:tc>
          <w:tcPr>
            <w:tcW w:w="1519"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13</w:t>
            </w:r>
          </w:p>
        </w:tc>
        <w:tc>
          <w:tcPr>
            <w:tcW w:w="1519"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3</w:t>
            </w:r>
          </w:p>
        </w:tc>
        <w:tc>
          <w:tcPr>
            <w:tcW w:w="1519"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F8725A">
            <w:pPr>
              <w:jc w:val="center"/>
              <w:cnfStyle w:val="000000000000" w:firstRow="0" w:lastRow="0" w:firstColumn="0" w:lastColumn="0" w:oddVBand="0" w:evenVBand="0" w:oddHBand="0" w:evenHBand="0" w:firstRowFirstColumn="0" w:firstRowLastColumn="0" w:lastRowFirstColumn="0" w:lastRowLastColumn="0"/>
              <w:rPr>
                <w:noProof/>
                <w:lang w:val="en-IE"/>
              </w:rPr>
            </w:pPr>
          </w:p>
        </w:tc>
        <w:tc>
          <w:tcPr>
            <w:tcW w:w="1519"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3</w:t>
            </w:r>
          </w:p>
        </w:tc>
      </w:tr>
      <w:tr w:rsidR="00F8725A" w:rsidTr="00F87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05"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left"/>
              <w:rPr>
                <w:noProof/>
              </w:rPr>
            </w:pPr>
            <w:r>
              <w:rPr>
                <w:noProof/>
              </w:rPr>
              <w:t>SEAE</w:t>
            </w:r>
          </w:p>
        </w:tc>
        <w:tc>
          <w:tcPr>
            <w:tcW w:w="1476"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42</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5</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501</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156</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108</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26</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13</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4</w:t>
            </w:r>
          </w:p>
        </w:tc>
      </w:tr>
      <w:tr w:rsidR="00F8725A" w:rsidTr="00F8725A">
        <w:trPr>
          <w:trHeight w:val="397"/>
        </w:trPr>
        <w:tc>
          <w:tcPr>
            <w:cnfStyle w:val="001000000000" w:firstRow="0" w:lastRow="0" w:firstColumn="1" w:lastColumn="0" w:oddVBand="0" w:evenVBand="0" w:oddHBand="0" w:evenHBand="0" w:firstRowFirstColumn="0" w:firstRowLastColumn="0" w:lastRowFirstColumn="0" w:lastRowLastColumn="0"/>
            <w:tcW w:w="2905"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BE7D43">
            <w:pPr>
              <w:jc w:val="left"/>
              <w:rPr>
                <w:noProof/>
              </w:rPr>
            </w:pPr>
            <w:r>
              <w:rPr>
                <w:noProof/>
              </w:rPr>
              <w:t>Contrôleur européen de la protection des données</w:t>
            </w:r>
          </w:p>
        </w:tc>
        <w:tc>
          <w:tcPr>
            <w:tcW w:w="1476"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F8725A">
            <w:pPr>
              <w:jc w:val="center"/>
              <w:cnfStyle w:val="000000000000" w:firstRow="0" w:lastRow="0" w:firstColumn="0" w:lastColumn="0" w:oddVBand="0" w:evenVBand="0" w:oddHBand="0" w:evenHBand="0" w:firstRowFirstColumn="0" w:firstRowLastColumn="0" w:lastRowFirstColumn="0" w:lastRowLastColumn="0"/>
              <w:rPr>
                <w:noProof/>
                <w:lang w:val="fr-BE"/>
              </w:rPr>
            </w:pPr>
          </w:p>
        </w:tc>
        <w:tc>
          <w:tcPr>
            <w:tcW w:w="1519"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F8725A">
            <w:pPr>
              <w:jc w:val="center"/>
              <w:cnfStyle w:val="000000000000" w:firstRow="0" w:lastRow="0" w:firstColumn="0" w:lastColumn="0" w:oddVBand="0" w:evenVBand="0" w:oddHBand="0" w:evenHBand="0" w:firstRowFirstColumn="0" w:firstRowLastColumn="0" w:lastRowFirstColumn="0" w:lastRowLastColumn="0"/>
              <w:rPr>
                <w:noProof/>
                <w:lang w:val="fr-BE"/>
              </w:rPr>
            </w:pPr>
          </w:p>
        </w:tc>
        <w:tc>
          <w:tcPr>
            <w:tcW w:w="1519"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12</w:t>
            </w:r>
          </w:p>
        </w:tc>
        <w:tc>
          <w:tcPr>
            <w:tcW w:w="1519"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BE7D43">
            <w:pPr>
              <w:jc w:val="center"/>
              <w:cnfStyle w:val="000000000000" w:firstRow="0" w:lastRow="0" w:firstColumn="0" w:lastColumn="0" w:oddVBand="0" w:evenVBand="0" w:oddHBand="0" w:evenHBand="0" w:firstRowFirstColumn="0" w:firstRowLastColumn="0" w:lastRowFirstColumn="0" w:lastRowLastColumn="0"/>
              <w:rPr>
                <w:noProof/>
              </w:rPr>
            </w:pPr>
            <w:r>
              <w:rPr>
                <w:noProof/>
              </w:rPr>
              <w:t>13</w:t>
            </w:r>
          </w:p>
        </w:tc>
        <w:tc>
          <w:tcPr>
            <w:tcW w:w="1519"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F8725A">
            <w:pPr>
              <w:jc w:val="center"/>
              <w:cnfStyle w:val="000000000000" w:firstRow="0" w:lastRow="0" w:firstColumn="0" w:lastColumn="0" w:oddVBand="0" w:evenVBand="0" w:oddHBand="0" w:evenHBand="0" w:firstRowFirstColumn="0" w:firstRowLastColumn="0" w:lastRowFirstColumn="0" w:lastRowLastColumn="0"/>
              <w:rPr>
                <w:noProof/>
                <w:lang w:val="en-IE"/>
              </w:rPr>
            </w:pPr>
          </w:p>
        </w:tc>
        <w:tc>
          <w:tcPr>
            <w:tcW w:w="1519"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F8725A">
            <w:pPr>
              <w:jc w:val="center"/>
              <w:cnfStyle w:val="000000000000" w:firstRow="0" w:lastRow="0" w:firstColumn="0" w:lastColumn="0" w:oddVBand="0" w:evenVBand="0" w:oddHBand="0" w:evenHBand="0" w:firstRowFirstColumn="0" w:firstRowLastColumn="0" w:lastRowFirstColumn="0" w:lastRowLastColumn="0"/>
              <w:rPr>
                <w:noProof/>
                <w:lang w:val="en-IE"/>
              </w:rPr>
            </w:pPr>
          </w:p>
        </w:tc>
        <w:tc>
          <w:tcPr>
            <w:tcW w:w="1519"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F8725A">
            <w:pPr>
              <w:jc w:val="center"/>
              <w:cnfStyle w:val="000000000000" w:firstRow="0" w:lastRow="0" w:firstColumn="0" w:lastColumn="0" w:oddVBand="0" w:evenVBand="0" w:oddHBand="0" w:evenHBand="0" w:firstRowFirstColumn="0" w:firstRowLastColumn="0" w:lastRowFirstColumn="0" w:lastRowLastColumn="0"/>
              <w:rPr>
                <w:noProof/>
                <w:lang w:val="en-IE"/>
              </w:rPr>
            </w:pPr>
          </w:p>
        </w:tc>
        <w:tc>
          <w:tcPr>
            <w:tcW w:w="1519" w:type="dxa"/>
            <w:tcBorders>
              <w:top w:val="single" w:sz="4" w:space="0" w:color="8EAADB"/>
              <w:left w:val="single" w:sz="4" w:space="0" w:color="8EAADB"/>
              <w:bottom w:val="single" w:sz="4" w:space="0" w:color="8EAADB"/>
              <w:right w:val="single" w:sz="4" w:space="0" w:color="8EAADB"/>
            </w:tcBorders>
            <w:shd w:val="clear" w:color="auto" w:fill="auto"/>
          </w:tcPr>
          <w:p w:rsidR="00F8725A" w:rsidRDefault="00F8725A">
            <w:pPr>
              <w:jc w:val="center"/>
              <w:cnfStyle w:val="000000000000" w:firstRow="0" w:lastRow="0" w:firstColumn="0" w:lastColumn="0" w:oddVBand="0" w:evenVBand="0" w:oddHBand="0" w:evenHBand="0" w:firstRowFirstColumn="0" w:firstRowLastColumn="0" w:lastRowFirstColumn="0" w:lastRowLastColumn="0"/>
              <w:rPr>
                <w:noProof/>
                <w:lang w:val="en-IE"/>
              </w:rPr>
            </w:pPr>
          </w:p>
        </w:tc>
      </w:tr>
      <w:tr w:rsidR="00F8725A" w:rsidTr="00F8725A">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905"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left"/>
              <w:rPr>
                <w:noProof/>
              </w:rPr>
            </w:pPr>
            <w:r>
              <w:rPr>
                <w:noProof/>
              </w:rPr>
              <w:t>Agences*</w:t>
            </w:r>
          </w:p>
        </w:tc>
        <w:tc>
          <w:tcPr>
            <w:tcW w:w="1476"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19</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10</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1206</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821</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195</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106</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15</w:t>
            </w:r>
          </w:p>
        </w:tc>
        <w:tc>
          <w:tcPr>
            <w:tcW w:w="1519" w:type="dxa"/>
            <w:tcBorders>
              <w:top w:val="single" w:sz="4" w:space="0" w:color="8EAADB"/>
              <w:left w:val="single" w:sz="4" w:space="0" w:color="8EAADB"/>
              <w:bottom w:val="single" w:sz="4" w:space="0" w:color="8EAADB"/>
              <w:right w:val="single" w:sz="4" w:space="0" w:color="8EAADB"/>
            </w:tcBorders>
            <w:shd w:val="clear" w:color="auto" w:fill="8EAADB"/>
          </w:tcPr>
          <w:p w:rsidR="00F8725A" w:rsidRDefault="00BE7D43">
            <w:pPr>
              <w:jc w:val="center"/>
              <w:cnfStyle w:val="000000100000" w:firstRow="0" w:lastRow="0" w:firstColumn="0" w:lastColumn="0" w:oddVBand="0" w:evenVBand="0" w:oddHBand="1" w:evenHBand="0" w:firstRowFirstColumn="0" w:firstRowLastColumn="0" w:lastRowFirstColumn="0" w:lastRowLastColumn="0"/>
              <w:rPr>
                <w:noProof/>
              </w:rPr>
            </w:pPr>
            <w:r>
              <w:rPr>
                <w:noProof/>
              </w:rPr>
              <w:t>10</w:t>
            </w:r>
          </w:p>
        </w:tc>
      </w:tr>
    </w:tbl>
    <w:p w:rsidR="00F8725A" w:rsidRDefault="00F8725A">
      <w:pPr>
        <w:rPr>
          <w:b/>
          <w:noProof/>
          <w:lang w:val="en-IE"/>
        </w:rPr>
        <w:sectPr w:rsidR="00F8725A">
          <w:headerReference w:type="even" r:id="rId55"/>
          <w:headerReference w:type="default" r:id="rId56"/>
          <w:footerReference w:type="even" r:id="rId57"/>
          <w:footerReference w:type="default" r:id="rId58"/>
          <w:headerReference w:type="first" r:id="rId59"/>
          <w:footerReference w:type="first" r:id="rId60"/>
          <w:pgSz w:w="16838" w:h="11906" w:orient="landscape"/>
          <w:pgMar w:top="1440" w:right="1440" w:bottom="1440" w:left="1440" w:header="708" w:footer="708" w:gutter="0"/>
          <w:cols w:space="708"/>
          <w:docGrid w:linePitch="360"/>
        </w:sectPr>
      </w:pPr>
    </w:p>
    <w:p w:rsidR="00F8725A" w:rsidRDefault="00BE7D43">
      <w:pPr>
        <w:rPr>
          <w:b/>
          <w:noProof/>
        </w:rPr>
      </w:pPr>
      <w:r>
        <w:rPr>
          <w:b/>
          <w:noProof/>
        </w:rPr>
        <w:t>Annexe 18: décisions de la Commission appliquées par analogie et celles pour lesquelles la Commission a donné un accord ex ante pour ne pas les appliquer par analogie (</w:t>
      </w:r>
      <w:r>
        <w:rPr>
          <w:b/>
          <w:i/>
          <w:noProof/>
        </w:rPr>
        <w:t>opt-out</w:t>
      </w:r>
      <w:r>
        <w:rPr>
          <w:b/>
          <w:noProof/>
        </w:rPr>
        <w:t>) ou pour adopter des règles qui diffèrent de celles de la Commission</w:t>
      </w:r>
    </w:p>
    <w:tbl>
      <w:tblPr>
        <w:tblW w:w="6380" w:type="dxa"/>
        <w:tblInd w:w="810" w:type="dxa"/>
        <w:tblLook w:val="04A0" w:firstRow="1" w:lastRow="0" w:firstColumn="1" w:lastColumn="0" w:noHBand="0" w:noVBand="1"/>
      </w:tblPr>
      <w:tblGrid>
        <w:gridCol w:w="4360"/>
        <w:gridCol w:w="2020"/>
      </w:tblGrid>
      <w:tr w:rsidR="00F8725A">
        <w:trPr>
          <w:trHeight w:val="315"/>
        </w:trPr>
        <w:tc>
          <w:tcPr>
            <w:tcW w:w="4360" w:type="dxa"/>
            <w:tcBorders>
              <w:top w:val="single" w:sz="4" w:space="0" w:color="auto"/>
              <w:left w:val="single" w:sz="4" w:space="0" w:color="auto"/>
              <w:bottom w:val="single" w:sz="4" w:space="0" w:color="auto"/>
              <w:right w:val="single" w:sz="4" w:space="0" w:color="auto"/>
            </w:tcBorders>
            <w:shd w:val="clear" w:color="auto" w:fill="4472C4" w:themeFill="accent5"/>
            <w:noWrap/>
            <w:vAlign w:val="bottom"/>
            <w:hideMark/>
          </w:tcPr>
          <w:p w:rsidR="00F8725A" w:rsidRDefault="00BE7D43">
            <w:pPr>
              <w:spacing w:after="0"/>
              <w:rPr>
                <w:rFonts w:ascii="Calibri" w:hAnsi="Calibri" w:cs="Calibri"/>
                <w:b/>
                <w:bCs/>
                <w:noProof/>
                <w:color w:val="FFFFFF"/>
                <w:szCs w:val="24"/>
              </w:rPr>
            </w:pPr>
            <w:r>
              <w:rPr>
                <w:rFonts w:ascii="Calibri" w:hAnsi="Calibri"/>
                <w:b/>
                <w:bCs/>
                <w:noProof/>
                <w:color w:val="FFFFFF"/>
                <w:szCs w:val="24"/>
              </w:rPr>
              <w:t>Décisions de la Commission notifiées</w:t>
            </w:r>
          </w:p>
        </w:tc>
        <w:tc>
          <w:tcPr>
            <w:tcW w:w="2020" w:type="dxa"/>
            <w:tcBorders>
              <w:top w:val="single" w:sz="4" w:space="0" w:color="auto"/>
              <w:left w:val="single" w:sz="4" w:space="0" w:color="auto"/>
              <w:bottom w:val="single" w:sz="4" w:space="0" w:color="auto"/>
              <w:right w:val="single" w:sz="4" w:space="0" w:color="auto"/>
            </w:tcBorders>
            <w:shd w:val="clear" w:color="auto" w:fill="4472C4" w:themeFill="accent5"/>
            <w:noWrap/>
            <w:vAlign w:val="bottom"/>
            <w:hideMark/>
          </w:tcPr>
          <w:p w:rsidR="00F8725A" w:rsidRDefault="00BE7D43">
            <w:pPr>
              <w:spacing w:after="0"/>
              <w:rPr>
                <w:rFonts w:ascii="Calibri" w:hAnsi="Calibri" w:cs="Calibri"/>
                <w:b/>
                <w:bCs/>
                <w:noProof/>
                <w:color w:val="FFFFFF"/>
                <w:szCs w:val="24"/>
              </w:rPr>
            </w:pPr>
            <w:r>
              <w:rPr>
                <w:rFonts w:ascii="Calibri" w:hAnsi="Calibri"/>
                <w:b/>
                <w:bCs/>
                <w:noProof/>
                <w:color w:val="FFFFFF"/>
                <w:szCs w:val="24"/>
              </w:rPr>
              <w:t>Nombre de décisions de la Commission notifiées</w:t>
            </w:r>
          </w:p>
        </w:tc>
      </w:tr>
      <w:tr w:rsidR="00F8725A">
        <w:trPr>
          <w:trHeight w:val="630"/>
        </w:trPr>
        <w:tc>
          <w:tcPr>
            <w:tcW w:w="4360" w:type="dxa"/>
            <w:tcBorders>
              <w:top w:val="single" w:sz="4" w:space="0" w:color="auto"/>
              <w:left w:val="single" w:sz="4" w:space="0" w:color="auto"/>
              <w:bottom w:val="single" w:sz="4" w:space="0" w:color="auto"/>
              <w:right w:val="single" w:sz="4" w:space="0" w:color="auto"/>
            </w:tcBorders>
            <w:shd w:val="clear" w:color="auto" w:fill="D9E1F2"/>
            <w:vAlign w:val="bottom"/>
            <w:hideMark/>
          </w:tcPr>
          <w:p w:rsidR="00F8725A" w:rsidRDefault="00BE7D43">
            <w:pPr>
              <w:spacing w:after="0"/>
              <w:rPr>
                <w:rFonts w:ascii="Calibri" w:hAnsi="Calibri" w:cs="Calibri"/>
                <w:noProof/>
                <w:color w:val="000000"/>
                <w:szCs w:val="24"/>
              </w:rPr>
            </w:pPr>
            <w:r>
              <w:rPr>
                <w:rFonts w:ascii="Calibri" w:hAnsi="Calibri"/>
                <w:noProof/>
                <w:color w:val="000000"/>
                <w:szCs w:val="24"/>
              </w:rPr>
              <w:t>Décisions de la Commission notifiées aux agences au titre de l’article 110, paragraphe 2, du statut</w:t>
            </w:r>
          </w:p>
        </w:tc>
        <w:tc>
          <w:tcPr>
            <w:tcW w:w="2020" w:type="dxa"/>
            <w:tcBorders>
              <w:top w:val="single" w:sz="4" w:space="0" w:color="auto"/>
              <w:left w:val="single" w:sz="4" w:space="0" w:color="auto"/>
              <w:bottom w:val="single" w:sz="4" w:space="0" w:color="auto"/>
              <w:right w:val="single" w:sz="4" w:space="0" w:color="auto"/>
            </w:tcBorders>
            <w:shd w:val="clear" w:color="auto" w:fill="D9E1F2"/>
            <w:vAlign w:val="bottom"/>
            <w:hideMark/>
          </w:tcPr>
          <w:p w:rsidR="00F8725A" w:rsidRDefault="00BE7D43">
            <w:pPr>
              <w:spacing w:after="0"/>
              <w:jc w:val="right"/>
              <w:rPr>
                <w:rFonts w:ascii="Calibri" w:hAnsi="Calibri" w:cs="Calibri"/>
                <w:noProof/>
                <w:color w:val="000000"/>
                <w:szCs w:val="24"/>
              </w:rPr>
            </w:pPr>
            <w:r>
              <w:rPr>
                <w:rFonts w:ascii="Calibri" w:hAnsi="Calibri"/>
                <w:noProof/>
                <w:color w:val="000000"/>
              </w:rPr>
              <w:t>44</w:t>
            </w:r>
            <w:r>
              <w:rPr>
                <w:rStyle w:val="FootnoteReference"/>
                <w:rFonts w:ascii="Calibri" w:hAnsi="Calibri" w:cs="Calibri"/>
                <w:noProof/>
                <w:color w:val="000000"/>
                <w:lang w:val="en-IE" w:eastAsia="en-GB"/>
              </w:rPr>
              <w:footnoteReference w:id="58"/>
            </w:r>
          </w:p>
        </w:tc>
      </w:tr>
      <w:tr w:rsidR="00F8725A">
        <w:trPr>
          <w:trHeight w:val="63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25A" w:rsidRDefault="00BE7D43">
            <w:pPr>
              <w:spacing w:after="0"/>
              <w:rPr>
                <w:rFonts w:ascii="Calibri" w:hAnsi="Calibri" w:cs="Calibri"/>
                <w:noProof/>
                <w:color w:val="000000"/>
                <w:szCs w:val="24"/>
              </w:rPr>
            </w:pPr>
            <w:r>
              <w:rPr>
                <w:rFonts w:ascii="Calibri" w:hAnsi="Calibri"/>
                <w:noProof/>
                <w:color w:val="000000"/>
                <w:szCs w:val="24"/>
              </w:rPr>
              <w:t>Décisions de la Commission appliquées par analogie (aucun modèle disponible)</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25A" w:rsidRDefault="00BE7D43">
            <w:pPr>
              <w:spacing w:after="0"/>
              <w:jc w:val="right"/>
              <w:rPr>
                <w:rFonts w:ascii="Calibri" w:hAnsi="Calibri" w:cs="Calibri"/>
                <w:noProof/>
                <w:color w:val="000000"/>
                <w:szCs w:val="24"/>
              </w:rPr>
            </w:pPr>
            <w:r>
              <w:rPr>
                <w:rFonts w:ascii="Calibri" w:hAnsi="Calibri"/>
                <w:noProof/>
                <w:color w:val="000000"/>
              </w:rPr>
              <w:t>21</w:t>
            </w:r>
          </w:p>
        </w:tc>
      </w:tr>
      <w:tr w:rsidR="00F8725A">
        <w:trPr>
          <w:trHeight w:val="945"/>
        </w:trPr>
        <w:tc>
          <w:tcPr>
            <w:tcW w:w="4360" w:type="dxa"/>
            <w:tcBorders>
              <w:top w:val="single" w:sz="4" w:space="0" w:color="auto"/>
              <w:left w:val="single" w:sz="4" w:space="0" w:color="auto"/>
              <w:bottom w:val="single" w:sz="4" w:space="0" w:color="auto"/>
              <w:right w:val="single" w:sz="4" w:space="0" w:color="auto"/>
            </w:tcBorders>
            <w:shd w:val="clear" w:color="auto" w:fill="D9E1F2"/>
            <w:vAlign w:val="bottom"/>
            <w:hideMark/>
          </w:tcPr>
          <w:p w:rsidR="00F8725A" w:rsidRDefault="00BE7D43">
            <w:pPr>
              <w:spacing w:after="0"/>
              <w:rPr>
                <w:rFonts w:ascii="Calibri" w:hAnsi="Calibri" w:cs="Calibri"/>
                <w:noProof/>
                <w:color w:val="000000"/>
                <w:szCs w:val="24"/>
              </w:rPr>
            </w:pPr>
            <w:r>
              <w:rPr>
                <w:rFonts w:ascii="Calibri" w:hAnsi="Calibri"/>
                <w:noProof/>
                <w:color w:val="000000"/>
                <w:szCs w:val="24"/>
              </w:rPr>
              <w:t>Décisions de la Commission auxquelles la Commission a accepté de déroger:</w:t>
            </w:r>
          </w:p>
          <w:p w:rsidR="00F8725A" w:rsidRDefault="00BE7D43">
            <w:pPr>
              <w:pStyle w:val="ListParagraph"/>
              <w:numPr>
                <w:ilvl w:val="0"/>
                <w:numId w:val="10"/>
              </w:numPr>
              <w:spacing w:after="0" w:line="240" w:lineRule="auto"/>
              <w:rPr>
                <w:rFonts w:ascii="Calibri" w:eastAsia="Times New Roman" w:hAnsi="Calibri" w:cs="Calibri"/>
                <w:noProof/>
                <w:color w:val="000000"/>
                <w:sz w:val="24"/>
                <w:szCs w:val="24"/>
              </w:rPr>
            </w:pPr>
            <w:r>
              <w:rPr>
                <w:rFonts w:ascii="Calibri" w:hAnsi="Calibri"/>
                <w:noProof/>
                <w:color w:val="000000"/>
                <w:sz w:val="24"/>
                <w:szCs w:val="24"/>
              </w:rPr>
              <w:t>par un accord ex ante sur une décision type)</w:t>
            </w:r>
            <w:r>
              <w:rPr>
                <w:rStyle w:val="FootnoteReference"/>
                <w:rFonts w:ascii="Calibri" w:hAnsi="Calibri" w:cs="Calibri"/>
                <w:noProof/>
                <w:color w:val="000000"/>
                <w:lang w:val="en-IE" w:eastAsia="en-GB"/>
              </w:rPr>
              <w:footnoteReference w:id="59"/>
            </w:r>
            <w:r>
              <w:rPr>
                <w:rFonts w:ascii="Calibri" w:hAnsi="Calibri"/>
                <w:noProof/>
                <w:color w:val="000000"/>
              </w:rPr>
              <w:t>;</w:t>
            </w:r>
          </w:p>
          <w:p w:rsidR="00F8725A" w:rsidRDefault="00BE7D43">
            <w:pPr>
              <w:pStyle w:val="ListParagraph"/>
              <w:numPr>
                <w:ilvl w:val="0"/>
                <w:numId w:val="11"/>
              </w:numPr>
              <w:spacing w:after="0" w:line="240" w:lineRule="auto"/>
              <w:ind w:left="1357"/>
              <w:rPr>
                <w:rFonts w:ascii="Calibri" w:eastAsia="Times New Roman" w:hAnsi="Calibri" w:cs="Calibri"/>
                <w:noProof/>
                <w:color w:val="000000"/>
                <w:sz w:val="24"/>
                <w:szCs w:val="24"/>
              </w:rPr>
            </w:pPr>
            <w:r>
              <w:rPr>
                <w:rFonts w:ascii="Calibri" w:hAnsi="Calibri"/>
                <w:i/>
                <w:noProof/>
                <w:color w:val="000000"/>
                <w:sz w:val="24"/>
                <w:szCs w:val="24"/>
              </w:rPr>
              <w:t>opt-out</w:t>
            </w:r>
            <w:r>
              <w:rPr>
                <w:rFonts w:ascii="Calibri" w:hAnsi="Calibri"/>
                <w:noProof/>
                <w:color w:val="000000"/>
                <w:sz w:val="24"/>
                <w:szCs w:val="24"/>
              </w:rPr>
              <w:t>,</w:t>
            </w:r>
          </w:p>
          <w:p w:rsidR="00F8725A" w:rsidRDefault="00BE7D43">
            <w:pPr>
              <w:pStyle w:val="ListParagraph"/>
              <w:numPr>
                <w:ilvl w:val="0"/>
                <w:numId w:val="11"/>
              </w:numPr>
              <w:spacing w:after="0" w:line="240" w:lineRule="auto"/>
              <w:ind w:left="1357"/>
              <w:rPr>
                <w:rFonts w:ascii="Calibri" w:eastAsia="Times New Roman" w:hAnsi="Calibri" w:cs="Calibri"/>
                <w:noProof/>
                <w:color w:val="000000"/>
                <w:sz w:val="24"/>
                <w:szCs w:val="24"/>
              </w:rPr>
            </w:pPr>
            <w:r>
              <w:rPr>
                <w:rFonts w:ascii="Calibri" w:hAnsi="Calibri"/>
                <w:noProof/>
                <w:color w:val="000000"/>
                <w:sz w:val="24"/>
                <w:szCs w:val="24"/>
              </w:rPr>
              <w:t>règles différentes;</w:t>
            </w:r>
          </w:p>
          <w:p w:rsidR="00F8725A" w:rsidRDefault="00BE7D43">
            <w:pPr>
              <w:pStyle w:val="ListParagraph"/>
              <w:numPr>
                <w:ilvl w:val="0"/>
                <w:numId w:val="10"/>
              </w:numPr>
              <w:spacing w:after="0" w:line="240" w:lineRule="auto"/>
              <w:rPr>
                <w:rFonts w:ascii="Calibri" w:eastAsia="Times New Roman" w:hAnsi="Calibri" w:cs="Calibri"/>
                <w:noProof/>
                <w:color w:val="000000"/>
                <w:sz w:val="24"/>
                <w:szCs w:val="24"/>
              </w:rPr>
            </w:pPr>
            <w:r>
              <w:rPr>
                <w:rFonts w:ascii="Calibri" w:hAnsi="Calibri"/>
                <w:noProof/>
                <w:color w:val="000000"/>
                <w:sz w:val="24"/>
                <w:szCs w:val="24"/>
              </w:rPr>
              <w:t>par accord individuel.</w:t>
            </w:r>
          </w:p>
        </w:tc>
        <w:tc>
          <w:tcPr>
            <w:tcW w:w="2020" w:type="dxa"/>
            <w:tcBorders>
              <w:top w:val="single" w:sz="4" w:space="0" w:color="auto"/>
              <w:left w:val="single" w:sz="4" w:space="0" w:color="auto"/>
              <w:bottom w:val="single" w:sz="4" w:space="0" w:color="auto"/>
              <w:right w:val="single" w:sz="4" w:space="0" w:color="auto"/>
            </w:tcBorders>
            <w:shd w:val="clear" w:color="auto" w:fill="D9E1F2"/>
            <w:vAlign w:val="bottom"/>
            <w:hideMark/>
          </w:tcPr>
          <w:p w:rsidR="00F8725A" w:rsidRDefault="00F8725A">
            <w:pPr>
              <w:spacing w:after="0"/>
              <w:rPr>
                <w:rFonts w:ascii="Calibri" w:hAnsi="Calibri" w:cs="Calibri"/>
                <w:noProof/>
                <w:color w:val="000000"/>
                <w:szCs w:val="24"/>
                <w:lang w:val="en-IE" w:eastAsia="en-GB"/>
              </w:rPr>
            </w:pPr>
          </w:p>
          <w:p w:rsidR="00F8725A" w:rsidRDefault="00BE7D43">
            <w:pPr>
              <w:spacing w:after="0"/>
              <w:jc w:val="right"/>
              <w:rPr>
                <w:rFonts w:ascii="Calibri" w:hAnsi="Calibri" w:cs="Calibri"/>
                <w:noProof/>
                <w:color w:val="000000"/>
                <w:szCs w:val="24"/>
              </w:rPr>
            </w:pPr>
            <w:r>
              <w:rPr>
                <w:rFonts w:ascii="Calibri" w:hAnsi="Calibri"/>
                <w:noProof/>
                <w:color w:val="000000"/>
                <w:szCs w:val="24"/>
              </w:rPr>
              <w:t>16</w:t>
            </w:r>
          </w:p>
          <w:p w:rsidR="00F8725A" w:rsidRDefault="00F8725A">
            <w:pPr>
              <w:spacing w:after="0"/>
              <w:jc w:val="right"/>
              <w:rPr>
                <w:rFonts w:ascii="Calibri" w:hAnsi="Calibri" w:cs="Calibri"/>
                <w:noProof/>
                <w:color w:val="000000"/>
                <w:szCs w:val="24"/>
                <w:lang w:val="en-IE" w:eastAsia="en-GB"/>
              </w:rPr>
            </w:pPr>
          </w:p>
          <w:p w:rsidR="00F8725A" w:rsidRDefault="00F8725A">
            <w:pPr>
              <w:spacing w:after="0"/>
              <w:jc w:val="right"/>
              <w:rPr>
                <w:rFonts w:ascii="Calibri" w:hAnsi="Calibri" w:cs="Calibri"/>
                <w:noProof/>
                <w:color w:val="000000"/>
                <w:szCs w:val="24"/>
                <w:lang w:val="en-IE" w:eastAsia="en-GB"/>
              </w:rPr>
            </w:pPr>
          </w:p>
          <w:p w:rsidR="00F8725A" w:rsidRDefault="00BE7D43">
            <w:pPr>
              <w:spacing w:after="0"/>
              <w:jc w:val="right"/>
              <w:rPr>
                <w:rFonts w:ascii="Calibri" w:hAnsi="Calibri" w:cs="Calibri"/>
                <w:noProof/>
                <w:color w:val="000000"/>
                <w:szCs w:val="24"/>
              </w:rPr>
            </w:pPr>
            <w:r>
              <w:rPr>
                <w:rFonts w:ascii="Calibri" w:hAnsi="Calibri"/>
                <w:noProof/>
                <w:color w:val="000000"/>
                <w:szCs w:val="24"/>
              </w:rPr>
              <w:t>6</w:t>
            </w:r>
          </w:p>
        </w:tc>
      </w:tr>
    </w:tbl>
    <w:p w:rsidR="00F8725A" w:rsidRDefault="00F8725A">
      <w:pPr>
        <w:rPr>
          <w:noProof/>
          <w:lang w:val="en-IE"/>
        </w:rPr>
      </w:pPr>
    </w:p>
    <w:p w:rsidR="00F8725A" w:rsidRDefault="00BE7D43">
      <w:pPr>
        <w:rPr>
          <w:b/>
          <w:noProof/>
        </w:rPr>
      </w:pPr>
      <w:r>
        <w:rPr>
          <w:b/>
          <w:noProof/>
        </w:rPr>
        <w:t>Annexe 19: accords de la Commission en vue d’adopter des règles qui concernent d’autres sujets que ceux couverts par les règles notifiées par la Commission</w:t>
      </w:r>
    </w:p>
    <w:tbl>
      <w:tblPr>
        <w:tblW w:w="6380" w:type="dxa"/>
        <w:tblInd w:w="780" w:type="dxa"/>
        <w:tblLook w:val="04A0" w:firstRow="1" w:lastRow="0" w:firstColumn="1" w:lastColumn="0" w:noHBand="0" w:noVBand="1"/>
      </w:tblPr>
      <w:tblGrid>
        <w:gridCol w:w="4360"/>
        <w:gridCol w:w="2020"/>
      </w:tblGrid>
      <w:tr w:rsidR="00F8725A">
        <w:trPr>
          <w:trHeight w:val="315"/>
        </w:trPr>
        <w:tc>
          <w:tcPr>
            <w:tcW w:w="4360" w:type="dxa"/>
            <w:tcBorders>
              <w:top w:val="single" w:sz="4" w:space="0" w:color="70AD47" w:themeColor="accent6"/>
              <w:left w:val="single" w:sz="4" w:space="0" w:color="70AD47" w:themeColor="accent6"/>
              <w:bottom w:val="nil"/>
              <w:right w:val="nil"/>
            </w:tcBorders>
            <w:shd w:val="clear" w:color="auto" w:fill="70AD47" w:themeFill="accent6"/>
            <w:vAlign w:val="bottom"/>
            <w:hideMark/>
          </w:tcPr>
          <w:p w:rsidR="00F8725A" w:rsidRDefault="00BE7D43">
            <w:pPr>
              <w:spacing w:after="0"/>
              <w:rPr>
                <w:rFonts w:ascii="Calibri" w:hAnsi="Calibri" w:cs="Calibri"/>
                <w:b/>
                <w:bCs/>
                <w:noProof/>
                <w:color w:val="FFFFFF"/>
                <w:szCs w:val="24"/>
              </w:rPr>
            </w:pPr>
            <w:r>
              <w:rPr>
                <w:rFonts w:ascii="Calibri" w:hAnsi="Calibri"/>
                <w:b/>
                <w:bCs/>
                <w:noProof/>
                <w:color w:val="FFFFFF"/>
                <w:szCs w:val="24"/>
              </w:rPr>
              <w:t xml:space="preserve">Règles sur d’autres sujets </w:t>
            </w:r>
          </w:p>
        </w:tc>
        <w:tc>
          <w:tcPr>
            <w:tcW w:w="2020" w:type="dxa"/>
            <w:tcBorders>
              <w:top w:val="single" w:sz="4" w:space="0" w:color="70AD47" w:themeColor="accent6"/>
              <w:left w:val="nil"/>
              <w:bottom w:val="nil"/>
              <w:right w:val="single" w:sz="4" w:space="0" w:color="auto"/>
            </w:tcBorders>
            <w:shd w:val="clear" w:color="auto" w:fill="70AD47" w:themeFill="accent6"/>
            <w:vAlign w:val="bottom"/>
            <w:hideMark/>
          </w:tcPr>
          <w:p w:rsidR="00F8725A" w:rsidRDefault="00BE7D43">
            <w:pPr>
              <w:spacing w:after="0"/>
              <w:rPr>
                <w:rFonts w:ascii="Calibri" w:hAnsi="Calibri" w:cs="Calibri"/>
                <w:b/>
                <w:bCs/>
                <w:noProof/>
                <w:color w:val="FFFFFF"/>
                <w:szCs w:val="24"/>
              </w:rPr>
            </w:pPr>
            <w:r>
              <w:rPr>
                <w:rFonts w:ascii="Calibri" w:hAnsi="Calibri"/>
                <w:b/>
                <w:bCs/>
                <w:noProof/>
                <w:color w:val="FFFFFF"/>
                <w:szCs w:val="24"/>
              </w:rPr>
              <w:t>Nombre</w:t>
            </w:r>
          </w:p>
        </w:tc>
      </w:tr>
      <w:tr w:rsidR="00F8725A">
        <w:trPr>
          <w:trHeight w:val="94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25A" w:rsidRDefault="00BE7D43">
            <w:pPr>
              <w:spacing w:after="0"/>
              <w:rPr>
                <w:rFonts w:ascii="Calibri" w:hAnsi="Calibri" w:cs="Calibri"/>
                <w:noProof/>
                <w:color w:val="000000"/>
                <w:szCs w:val="24"/>
              </w:rPr>
            </w:pPr>
            <w:r>
              <w:rPr>
                <w:rFonts w:ascii="Calibri" w:hAnsi="Calibri"/>
                <w:noProof/>
                <w:color w:val="000000"/>
                <w:szCs w:val="24"/>
              </w:rPr>
              <w:t>Accords ex ante portant sur des décisions types concernant d’autres sujets que ceux couverts par les règles notifiées par la Commission.</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25A" w:rsidRDefault="00BE7D43">
            <w:pPr>
              <w:spacing w:after="0"/>
              <w:jc w:val="right"/>
              <w:rPr>
                <w:rFonts w:ascii="Calibri" w:hAnsi="Calibri" w:cs="Calibri"/>
                <w:noProof/>
                <w:color w:val="000000"/>
                <w:szCs w:val="24"/>
              </w:rPr>
            </w:pPr>
            <w:r>
              <w:rPr>
                <w:rFonts w:ascii="Calibri" w:hAnsi="Calibri"/>
                <w:noProof/>
                <w:color w:val="000000"/>
                <w:szCs w:val="24"/>
              </w:rPr>
              <w:t>9</w:t>
            </w:r>
          </w:p>
        </w:tc>
      </w:tr>
      <w:tr w:rsidR="00F8725A">
        <w:trPr>
          <w:trHeight w:val="63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25A" w:rsidRDefault="00BE7D43">
            <w:pPr>
              <w:spacing w:after="0"/>
              <w:rPr>
                <w:rFonts w:ascii="Calibri" w:hAnsi="Calibri" w:cs="Calibri"/>
                <w:noProof/>
                <w:color w:val="000000"/>
                <w:szCs w:val="24"/>
              </w:rPr>
            </w:pPr>
            <w:r>
              <w:rPr>
                <w:rFonts w:ascii="Calibri" w:hAnsi="Calibri"/>
                <w:noProof/>
                <w:color w:val="000000"/>
                <w:szCs w:val="24"/>
              </w:rPr>
              <w:t xml:space="preserve">Accords individuels aux demandes individuelles des agences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25A" w:rsidRDefault="00BE7D43">
            <w:pPr>
              <w:spacing w:after="0"/>
              <w:jc w:val="right"/>
              <w:rPr>
                <w:rFonts w:ascii="Calibri" w:hAnsi="Calibri" w:cs="Calibri"/>
                <w:noProof/>
                <w:color w:val="000000"/>
                <w:szCs w:val="24"/>
              </w:rPr>
            </w:pPr>
            <w:r>
              <w:rPr>
                <w:rFonts w:ascii="Calibri" w:hAnsi="Calibri"/>
                <w:noProof/>
                <w:color w:val="000000"/>
              </w:rPr>
              <w:t>48</w:t>
            </w:r>
            <w:r>
              <w:rPr>
                <w:rStyle w:val="FootnoteReference"/>
                <w:rFonts w:ascii="Calibri" w:hAnsi="Calibri" w:cs="Calibri"/>
                <w:noProof/>
                <w:color w:val="000000"/>
                <w:lang w:val="en-IE" w:eastAsia="en-GB"/>
              </w:rPr>
              <w:footnoteReference w:id="60"/>
            </w:r>
          </w:p>
        </w:tc>
      </w:tr>
    </w:tbl>
    <w:p w:rsidR="00F8725A" w:rsidRDefault="00F8725A">
      <w:pPr>
        <w:rPr>
          <w:b/>
          <w:noProof/>
          <w:lang w:val="en-IE"/>
        </w:rPr>
      </w:pPr>
    </w:p>
    <w:p w:rsidR="00F8725A" w:rsidRDefault="00F8725A">
      <w:pPr>
        <w:rPr>
          <w:b/>
          <w:noProof/>
          <w:lang w:val="en-IE"/>
        </w:rPr>
      </w:pPr>
    </w:p>
    <w:p w:rsidR="00F8725A" w:rsidRDefault="00F8725A">
      <w:pPr>
        <w:rPr>
          <w:b/>
          <w:noProof/>
          <w:lang w:val="en-IE"/>
        </w:rPr>
      </w:pPr>
    </w:p>
    <w:p w:rsidR="00F8725A" w:rsidRDefault="00F8725A">
      <w:pPr>
        <w:rPr>
          <w:b/>
          <w:noProof/>
          <w:lang w:val="en-IE"/>
        </w:rPr>
      </w:pPr>
    </w:p>
    <w:p w:rsidR="00F8725A" w:rsidRDefault="00F8725A">
      <w:pPr>
        <w:rPr>
          <w:b/>
          <w:noProof/>
          <w:lang w:val="en-IE"/>
        </w:rPr>
      </w:pPr>
    </w:p>
    <w:p w:rsidR="00F8725A" w:rsidRDefault="00BE7D43">
      <w:pPr>
        <w:rPr>
          <w:b/>
          <w:noProof/>
        </w:rPr>
      </w:pPr>
      <w:r>
        <w:rPr>
          <w:b/>
          <w:noProof/>
        </w:rPr>
        <w:t xml:space="preserve">Annexe 20: réunions avec les représentants du personnel </w:t>
      </w:r>
    </w:p>
    <w:p w:rsidR="00F8725A" w:rsidRDefault="00BE7D43">
      <w:pPr>
        <w:rPr>
          <w:b/>
          <w:noProof/>
        </w:rPr>
      </w:pPr>
      <w:r>
        <w:rPr>
          <w:noProof/>
          <w:lang w:val="en-US" w:eastAsia="en-US"/>
        </w:rPr>
        <w:drawing>
          <wp:inline distT="0" distB="0" distL="0" distR="0">
            <wp:extent cx="4420870" cy="2838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420870" cy="2838450"/>
                    </a:xfrm>
                    <a:prstGeom prst="rect">
                      <a:avLst/>
                    </a:prstGeom>
                    <a:noFill/>
                    <a:ln>
                      <a:noFill/>
                    </a:ln>
                  </pic:spPr>
                </pic:pic>
              </a:graphicData>
            </a:graphic>
          </wp:inline>
        </w:drawing>
      </w:r>
    </w:p>
    <w:p w:rsidR="00F8725A" w:rsidRDefault="00F8725A">
      <w:pPr>
        <w:rPr>
          <w:b/>
          <w:noProof/>
          <w:lang w:val="en-IE"/>
        </w:rPr>
      </w:pPr>
    </w:p>
    <w:p w:rsidR="00F8725A" w:rsidRDefault="00BE7D43">
      <w:pPr>
        <w:rPr>
          <w:b/>
          <w:noProof/>
        </w:rPr>
      </w:pPr>
      <w:r>
        <w:rPr>
          <w:b/>
          <w:noProof/>
        </w:rPr>
        <w:t>Annexe 21: réunions du comité du statut</w:t>
      </w:r>
    </w:p>
    <w:p w:rsidR="00F8725A" w:rsidRDefault="00BE7D43">
      <w:pPr>
        <w:rPr>
          <w:b/>
          <w:noProof/>
        </w:rPr>
      </w:pPr>
      <w:r>
        <w:rPr>
          <w:noProof/>
          <w:lang w:val="en-US" w:eastAsia="en-US"/>
        </w:rPr>
        <w:drawing>
          <wp:inline distT="0" distB="0" distL="0" distR="0">
            <wp:extent cx="4420870" cy="2838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20870" cy="2838450"/>
                    </a:xfrm>
                    <a:prstGeom prst="rect">
                      <a:avLst/>
                    </a:prstGeom>
                    <a:noFill/>
                    <a:ln>
                      <a:noFill/>
                    </a:ln>
                  </pic:spPr>
                </pic:pic>
              </a:graphicData>
            </a:graphic>
          </wp:inline>
        </w:drawing>
      </w:r>
    </w:p>
    <w:p w:rsidR="00F8725A" w:rsidRDefault="00BE7D43">
      <w:pPr>
        <w:spacing w:after="160" w:line="259" w:lineRule="auto"/>
        <w:jc w:val="left"/>
        <w:rPr>
          <w:b/>
          <w:noProof/>
        </w:rPr>
      </w:pPr>
      <w:r>
        <w:rPr>
          <w:noProof/>
        </w:rPr>
        <w:br w:type="page"/>
      </w:r>
    </w:p>
    <w:p w:rsidR="00F8725A" w:rsidRDefault="00F8725A">
      <w:pPr>
        <w:rPr>
          <w:b/>
          <w:noProof/>
          <w:lang w:val="en-IE"/>
        </w:rPr>
        <w:sectPr w:rsidR="00F8725A">
          <w:headerReference w:type="even" r:id="rId63"/>
          <w:headerReference w:type="default" r:id="rId64"/>
          <w:footerReference w:type="even" r:id="rId65"/>
          <w:footerReference w:type="default" r:id="rId66"/>
          <w:headerReference w:type="first" r:id="rId67"/>
          <w:footerReference w:type="first" r:id="rId68"/>
          <w:pgSz w:w="11906" w:h="16838"/>
          <w:pgMar w:top="1440" w:right="1440" w:bottom="1440" w:left="1440" w:header="708" w:footer="708" w:gutter="0"/>
          <w:cols w:space="708"/>
          <w:docGrid w:linePitch="360"/>
        </w:sectPr>
      </w:pPr>
    </w:p>
    <w:p w:rsidR="00F8725A" w:rsidRDefault="00F8725A">
      <w:pPr>
        <w:rPr>
          <w:b/>
          <w:noProof/>
          <w:lang w:val="en-IE"/>
        </w:rPr>
      </w:pPr>
    </w:p>
    <w:p w:rsidR="00F8725A" w:rsidRDefault="00BE7D43">
      <w:pPr>
        <w:rPr>
          <w:b/>
          <w:noProof/>
        </w:rPr>
      </w:pPr>
      <w:r>
        <w:rPr>
          <w:b/>
          <w:noProof/>
        </w:rPr>
        <w:t>Annexe 22: contrôle juridictionnel</w:t>
      </w:r>
    </w:p>
    <w:p w:rsidR="00F8725A" w:rsidRDefault="00F8725A">
      <w:pPr>
        <w:spacing w:after="0"/>
        <w:textAlignment w:val="baseline"/>
        <w:rPr>
          <w:b/>
          <w:bCs/>
          <w:noProof/>
          <w:szCs w:val="24"/>
          <w:lang w:val="en-IE"/>
        </w:rPr>
      </w:pPr>
    </w:p>
    <w:tbl>
      <w:tblPr>
        <w:tblStyle w:val="TableGrid"/>
        <w:tblW w:w="14935" w:type="dxa"/>
        <w:jc w:val="center"/>
        <w:tblLook w:val="04A0" w:firstRow="1" w:lastRow="0" w:firstColumn="1" w:lastColumn="0" w:noHBand="0" w:noVBand="1"/>
      </w:tblPr>
      <w:tblGrid>
        <w:gridCol w:w="2003"/>
        <w:gridCol w:w="1446"/>
        <w:gridCol w:w="2900"/>
        <w:gridCol w:w="2205"/>
        <w:gridCol w:w="1765"/>
        <w:gridCol w:w="4616"/>
      </w:tblGrid>
      <w:tr w:rsidR="00F8725A">
        <w:trPr>
          <w:trHeight w:val="906"/>
          <w:jc w:val="center"/>
        </w:trPr>
        <w:tc>
          <w:tcPr>
            <w:tcW w:w="1777" w:type="dxa"/>
            <w:tcBorders>
              <w:top w:val="single" w:sz="12" w:space="0" w:color="auto"/>
              <w:left w:val="single" w:sz="12" w:space="0" w:color="auto"/>
              <w:bottom w:val="single" w:sz="12" w:space="0" w:color="auto"/>
              <w:right w:val="single" w:sz="12" w:space="0" w:color="auto"/>
            </w:tcBorders>
            <w:vAlign w:val="center"/>
          </w:tcPr>
          <w:p w:rsidR="00F8725A" w:rsidRDefault="00BE7D43">
            <w:pPr>
              <w:jc w:val="center"/>
              <w:textAlignment w:val="baseline"/>
              <w:rPr>
                <w:b/>
                <w:bCs/>
                <w:noProof/>
                <w:szCs w:val="24"/>
              </w:rPr>
            </w:pPr>
            <w:r>
              <w:rPr>
                <w:b/>
                <w:bCs/>
                <w:noProof/>
                <w:szCs w:val="24"/>
              </w:rPr>
              <w:t>Thème</w:t>
            </w:r>
          </w:p>
        </w:tc>
        <w:tc>
          <w:tcPr>
            <w:tcW w:w="1544" w:type="dxa"/>
            <w:tcBorders>
              <w:top w:val="single" w:sz="12" w:space="0" w:color="auto"/>
              <w:left w:val="single" w:sz="12" w:space="0" w:color="auto"/>
              <w:bottom w:val="single" w:sz="12" w:space="0" w:color="auto"/>
              <w:right w:val="single" w:sz="12" w:space="0" w:color="auto"/>
            </w:tcBorders>
            <w:vAlign w:val="center"/>
          </w:tcPr>
          <w:p w:rsidR="00F8725A" w:rsidRDefault="00BE7D43">
            <w:pPr>
              <w:jc w:val="center"/>
              <w:textAlignment w:val="baseline"/>
              <w:rPr>
                <w:b/>
                <w:bCs/>
                <w:noProof/>
                <w:szCs w:val="24"/>
              </w:rPr>
            </w:pPr>
            <w:r>
              <w:rPr>
                <w:b/>
                <w:bCs/>
                <w:noProof/>
                <w:szCs w:val="24"/>
              </w:rPr>
              <w:t>Date</w:t>
            </w:r>
          </w:p>
        </w:tc>
        <w:tc>
          <w:tcPr>
            <w:tcW w:w="3517" w:type="dxa"/>
            <w:gridSpan w:val="2"/>
            <w:tcBorders>
              <w:top w:val="single" w:sz="12" w:space="0" w:color="auto"/>
              <w:left w:val="single" w:sz="12" w:space="0" w:color="auto"/>
              <w:bottom w:val="single" w:sz="12" w:space="0" w:color="auto"/>
              <w:right w:val="single" w:sz="12" w:space="0" w:color="auto"/>
            </w:tcBorders>
            <w:vAlign w:val="center"/>
          </w:tcPr>
          <w:p w:rsidR="00F8725A" w:rsidRDefault="00BE7D43">
            <w:pPr>
              <w:jc w:val="center"/>
              <w:textAlignment w:val="baseline"/>
              <w:rPr>
                <w:b/>
                <w:bCs/>
                <w:noProof/>
                <w:szCs w:val="24"/>
              </w:rPr>
            </w:pPr>
            <w:r>
              <w:rPr>
                <w:b/>
                <w:bCs/>
                <w:noProof/>
                <w:szCs w:val="24"/>
              </w:rPr>
              <w:t>Référence</w:t>
            </w:r>
          </w:p>
        </w:tc>
        <w:tc>
          <w:tcPr>
            <w:tcW w:w="2037" w:type="dxa"/>
            <w:tcBorders>
              <w:top w:val="single" w:sz="12" w:space="0" w:color="auto"/>
              <w:left w:val="single" w:sz="12" w:space="0" w:color="auto"/>
              <w:bottom w:val="single" w:sz="12" w:space="0" w:color="auto"/>
              <w:right w:val="single" w:sz="12" w:space="0" w:color="auto"/>
            </w:tcBorders>
            <w:vAlign w:val="center"/>
          </w:tcPr>
          <w:p w:rsidR="00F8725A" w:rsidRDefault="00BE7D43">
            <w:pPr>
              <w:jc w:val="center"/>
              <w:textAlignment w:val="baseline"/>
              <w:rPr>
                <w:b/>
                <w:bCs/>
                <w:noProof/>
                <w:szCs w:val="24"/>
              </w:rPr>
            </w:pPr>
            <w:r>
              <w:rPr>
                <w:b/>
                <w:bCs/>
                <w:noProof/>
                <w:szCs w:val="24"/>
              </w:rPr>
              <w:t>Résultat</w:t>
            </w:r>
          </w:p>
        </w:tc>
        <w:tc>
          <w:tcPr>
            <w:tcW w:w="6060" w:type="dxa"/>
            <w:tcBorders>
              <w:top w:val="single" w:sz="12" w:space="0" w:color="auto"/>
              <w:left w:val="single" w:sz="12" w:space="0" w:color="auto"/>
              <w:bottom w:val="single" w:sz="12" w:space="0" w:color="auto"/>
              <w:right w:val="single" w:sz="12" w:space="0" w:color="auto"/>
            </w:tcBorders>
            <w:vAlign w:val="center"/>
          </w:tcPr>
          <w:p w:rsidR="00F8725A" w:rsidRDefault="00BE7D43">
            <w:pPr>
              <w:jc w:val="center"/>
              <w:textAlignment w:val="baseline"/>
              <w:rPr>
                <w:b/>
                <w:bCs/>
                <w:noProof/>
                <w:szCs w:val="24"/>
              </w:rPr>
            </w:pPr>
            <w:r>
              <w:rPr>
                <w:b/>
                <w:bCs/>
                <w:noProof/>
                <w:szCs w:val="24"/>
              </w:rPr>
              <w:t>Commentaire</w:t>
            </w:r>
          </w:p>
        </w:tc>
      </w:tr>
      <w:tr w:rsidR="00F8725A">
        <w:trPr>
          <w:trHeight w:val="1448"/>
          <w:jc w:val="center"/>
        </w:trPr>
        <w:tc>
          <w:tcPr>
            <w:tcW w:w="1777" w:type="dxa"/>
            <w:vMerge w:val="restart"/>
            <w:tcBorders>
              <w:top w:val="single" w:sz="12" w:space="0" w:color="auto"/>
            </w:tcBorders>
            <w:vAlign w:val="center"/>
          </w:tcPr>
          <w:p w:rsidR="00F8725A" w:rsidRDefault="00BE7D43">
            <w:pPr>
              <w:jc w:val="center"/>
              <w:textAlignment w:val="baseline"/>
              <w:rPr>
                <w:b/>
                <w:bCs/>
                <w:noProof/>
                <w:szCs w:val="24"/>
              </w:rPr>
            </w:pPr>
            <w:r>
              <w:rPr>
                <w:b/>
                <w:bCs/>
                <w:noProof/>
                <w:szCs w:val="24"/>
              </w:rPr>
              <w:t>Consultation des représentants du personnel</w:t>
            </w:r>
          </w:p>
        </w:tc>
        <w:tc>
          <w:tcPr>
            <w:tcW w:w="1544" w:type="dxa"/>
            <w:tcBorders>
              <w:top w:val="single" w:sz="12" w:space="0" w:color="auto"/>
            </w:tcBorders>
            <w:vAlign w:val="center"/>
          </w:tcPr>
          <w:p w:rsidR="00F8725A" w:rsidRDefault="00BE7D43">
            <w:pPr>
              <w:jc w:val="center"/>
              <w:textAlignment w:val="baseline"/>
              <w:rPr>
                <w:bCs/>
                <w:noProof/>
                <w:szCs w:val="24"/>
              </w:rPr>
            </w:pPr>
            <w:r>
              <w:rPr>
                <w:noProof/>
              </w:rPr>
              <w:t>15/9/2016</w:t>
            </w:r>
          </w:p>
        </w:tc>
        <w:tc>
          <w:tcPr>
            <w:tcW w:w="3517" w:type="dxa"/>
            <w:gridSpan w:val="2"/>
            <w:tcBorders>
              <w:top w:val="single" w:sz="12" w:space="0" w:color="auto"/>
            </w:tcBorders>
            <w:vAlign w:val="center"/>
          </w:tcPr>
          <w:p w:rsidR="00F8725A" w:rsidRDefault="00BE7D43">
            <w:pPr>
              <w:jc w:val="center"/>
              <w:textAlignment w:val="baseline"/>
              <w:rPr>
                <w:bCs/>
                <w:i/>
                <w:noProof/>
                <w:szCs w:val="24"/>
              </w:rPr>
            </w:pPr>
            <w:r>
              <w:rPr>
                <w:bCs/>
                <w:i/>
                <w:noProof/>
                <w:szCs w:val="24"/>
              </w:rPr>
              <w:t>Affaire T</w:t>
            </w:r>
            <w:r>
              <w:rPr>
                <w:bCs/>
                <w:i/>
                <w:noProof/>
                <w:szCs w:val="24"/>
              </w:rPr>
              <w:noBreakHyphen/>
              <w:t>17/14</w:t>
            </w:r>
          </w:p>
          <w:p w:rsidR="00F8725A" w:rsidRDefault="00BE7D43">
            <w:pPr>
              <w:jc w:val="center"/>
              <w:textAlignment w:val="baseline"/>
              <w:rPr>
                <w:bCs/>
                <w:i/>
                <w:noProof/>
                <w:szCs w:val="24"/>
              </w:rPr>
            </w:pPr>
            <w:r>
              <w:rPr>
                <w:bCs/>
                <w:i/>
                <w:noProof/>
                <w:szCs w:val="24"/>
              </w:rPr>
              <w:t>U4U e.a./Parlement et Conseil</w:t>
            </w:r>
          </w:p>
        </w:tc>
        <w:tc>
          <w:tcPr>
            <w:tcW w:w="2037" w:type="dxa"/>
            <w:vMerge w:val="restart"/>
            <w:tcBorders>
              <w:top w:val="single" w:sz="12" w:space="0" w:color="auto"/>
            </w:tcBorders>
            <w:vAlign w:val="center"/>
          </w:tcPr>
          <w:p w:rsidR="00F8725A" w:rsidRDefault="00BE7D43">
            <w:pPr>
              <w:jc w:val="center"/>
              <w:textAlignment w:val="baseline"/>
              <w:rPr>
                <w:b/>
                <w:bCs/>
                <w:noProof/>
                <w:szCs w:val="24"/>
              </w:rPr>
            </w:pPr>
            <w:r>
              <w:rPr>
                <w:b/>
                <w:bCs/>
                <w:noProof/>
                <w:szCs w:val="24"/>
              </w:rPr>
              <w:t>Refusé</w:t>
            </w:r>
          </w:p>
        </w:tc>
        <w:tc>
          <w:tcPr>
            <w:tcW w:w="6060" w:type="dxa"/>
            <w:vMerge w:val="restart"/>
            <w:tcBorders>
              <w:top w:val="single" w:sz="12" w:space="0" w:color="auto"/>
            </w:tcBorders>
            <w:vAlign w:val="center"/>
          </w:tcPr>
          <w:p w:rsidR="00F8725A" w:rsidRDefault="00BE7D43">
            <w:pPr>
              <w:textAlignment w:val="baseline"/>
              <w:rPr>
                <w:bCs/>
                <w:noProof/>
                <w:szCs w:val="24"/>
              </w:rPr>
            </w:pPr>
            <w:r>
              <w:rPr>
                <w:noProof/>
              </w:rPr>
              <w:t>Les représentants du personnel ont formé des recours directs contre le règlement nº 1023/2013, qui étaient principalement fondés sur une prétendue violation des règles du dialogue social dans le cadre des négociations sur la réforme du statut.</w:t>
            </w:r>
          </w:p>
          <w:p w:rsidR="00F8725A" w:rsidRDefault="00BE7D43">
            <w:pPr>
              <w:textAlignment w:val="baseline"/>
              <w:rPr>
                <w:bCs/>
                <w:noProof/>
                <w:szCs w:val="24"/>
              </w:rPr>
            </w:pPr>
            <w:r>
              <w:rPr>
                <w:noProof/>
              </w:rPr>
              <w:t>Le Tribunal de première instance a rejeté les recours et a confirmé que les règles relatives à la consultation du comité du statut (article 10 du statut) et à la procédure de concertation prévue par la décision du Conseil du 23 juin 1981 étaient respectées en l’espèce.</w:t>
            </w:r>
          </w:p>
        </w:tc>
      </w:tr>
      <w:tr w:rsidR="00F8725A">
        <w:trPr>
          <w:trHeight w:val="1447"/>
          <w:jc w:val="center"/>
        </w:trPr>
        <w:tc>
          <w:tcPr>
            <w:tcW w:w="1777" w:type="dxa"/>
            <w:vMerge/>
            <w:vAlign w:val="center"/>
          </w:tcPr>
          <w:p w:rsidR="00F8725A" w:rsidRDefault="00F8725A">
            <w:pPr>
              <w:jc w:val="center"/>
              <w:textAlignment w:val="baseline"/>
              <w:rPr>
                <w:b/>
                <w:bCs/>
                <w:noProof/>
                <w:szCs w:val="24"/>
                <w:lang w:val="fr-BE"/>
              </w:rPr>
            </w:pPr>
          </w:p>
        </w:tc>
        <w:tc>
          <w:tcPr>
            <w:tcW w:w="1544" w:type="dxa"/>
            <w:tcBorders>
              <w:bottom w:val="single" w:sz="12" w:space="0" w:color="auto"/>
            </w:tcBorders>
            <w:vAlign w:val="center"/>
          </w:tcPr>
          <w:p w:rsidR="00F8725A" w:rsidRDefault="00BE7D43">
            <w:pPr>
              <w:jc w:val="center"/>
              <w:textAlignment w:val="baseline"/>
              <w:rPr>
                <w:bCs/>
                <w:noProof/>
                <w:szCs w:val="24"/>
              </w:rPr>
            </w:pPr>
            <w:r>
              <w:rPr>
                <w:noProof/>
              </w:rPr>
              <w:t>16/11/2017</w:t>
            </w:r>
          </w:p>
        </w:tc>
        <w:tc>
          <w:tcPr>
            <w:tcW w:w="3517" w:type="dxa"/>
            <w:gridSpan w:val="2"/>
            <w:tcBorders>
              <w:top w:val="single" w:sz="4" w:space="0" w:color="auto"/>
              <w:bottom w:val="single" w:sz="12" w:space="0" w:color="auto"/>
            </w:tcBorders>
            <w:vAlign w:val="center"/>
          </w:tcPr>
          <w:p w:rsidR="00F8725A" w:rsidRDefault="00BE7D43">
            <w:pPr>
              <w:jc w:val="center"/>
              <w:textAlignment w:val="baseline"/>
              <w:rPr>
                <w:bCs/>
                <w:i/>
                <w:noProof/>
                <w:szCs w:val="24"/>
              </w:rPr>
            </w:pPr>
            <w:r>
              <w:rPr>
                <w:bCs/>
                <w:i/>
                <w:noProof/>
                <w:szCs w:val="24"/>
              </w:rPr>
              <w:t>Affaire T</w:t>
            </w:r>
            <w:r>
              <w:rPr>
                <w:bCs/>
                <w:i/>
                <w:noProof/>
                <w:szCs w:val="24"/>
              </w:rPr>
              <w:noBreakHyphen/>
              <w:t xml:space="preserve">75/14 </w:t>
            </w:r>
          </w:p>
          <w:p w:rsidR="00F8725A" w:rsidRDefault="00BE7D43">
            <w:pPr>
              <w:jc w:val="center"/>
              <w:textAlignment w:val="baseline"/>
              <w:rPr>
                <w:bCs/>
                <w:i/>
                <w:noProof/>
                <w:szCs w:val="24"/>
              </w:rPr>
            </w:pPr>
            <w:r>
              <w:rPr>
                <w:bCs/>
                <w:i/>
                <w:noProof/>
                <w:szCs w:val="24"/>
              </w:rPr>
              <w:t>USFSPEI/Parlement et Conseil</w:t>
            </w:r>
          </w:p>
        </w:tc>
        <w:tc>
          <w:tcPr>
            <w:tcW w:w="2037" w:type="dxa"/>
            <w:vMerge/>
            <w:vAlign w:val="center"/>
          </w:tcPr>
          <w:p w:rsidR="00F8725A" w:rsidRDefault="00F8725A">
            <w:pPr>
              <w:jc w:val="center"/>
              <w:textAlignment w:val="baseline"/>
              <w:rPr>
                <w:b/>
                <w:bCs/>
                <w:noProof/>
                <w:szCs w:val="24"/>
                <w:lang w:val="fr-BE"/>
              </w:rPr>
            </w:pPr>
          </w:p>
        </w:tc>
        <w:tc>
          <w:tcPr>
            <w:tcW w:w="6060" w:type="dxa"/>
            <w:vMerge/>
            <w:vAlign w:val="center"/>
          </w:tcPr>
          <w:p w:rsidR="00F8725A" w:rsidRDefault="00F8725A">
            <w:pPr>
              <w:textAlignment w:val="baseline"/>
              <w:rPr>
                <w:bCs/>
                <w:noProof/>
                <w:szCs w:val="24"/>
                <w:lang w:val="fr-BE"/>
              </w:rPr>
            </w:pPr>
          </w:p>
        </w:tc>
      </w:tr>
      <w:tr w:rsidR="00F8725A">
        <w:trPr>
          <w:trHeight w:val="3145"/>
          <w:jc w:val="center"/>
        </w:trPr>
        <w:tc>
          <w:tcPr>
            <w:tcW w:w="1777" w:type="dxa"/>
            <w:tcBorders>
              <w:top w:val="single" w:sz="12" w:space="0" w:color="auto"/>
              <w:bottom w:val="single" w:sz="12" w:space="0" w:color="auto"/>
            </w:tcBorders>
            <w:vAlign w:val="center"/>
          </w:tcPr>
          <w:p w:rsidR="00F8725A" w:rsidRDefault="00BE7D43">
            <w:pPr>
              <w:jc w:val="center"/>
              <w:textAlignment w:val="baseline"/>
              <w:rPr>
                <w:b/>
                <w:bCs/>
                <w:noProof/>
                <w:szCs w:val="24"/>
              </w:rPr>
            </w:pPr>
            <w:r>
              <w:rPr>
                <w:b/>
                <w:bCs/>
                <w:noProof/>
                <w:szCs w:val="24"/>
              </w:rPr>
              <w:t>Congé dans l’intérêt du service</w:t>
            </w:r>
          </w:p>
        </w:tc>
        <w:tc>
          <w:tcPr>
            <w:tcW w:w="1544" w:type="dxa"/>
            <w:tcBorders>
              <w:top w:val="single" w:sz="12" w:space="0" w:color="auto"/>
              <w:bottom w:val="single" w:sz="12" w:space="0" w:color="auto"/>
            </w:tcBorders>
            <w:vAlign w:val="center"/>
          </w:tcPr>
          <w:p w:rsidR="00F8725A" w:rsidRDefault="00BE7D43">
            <w:pPr>
              <w:jc w:val="center"/>
              <w:textAlignment w:val="baseline"/>
              <w:rPr>
                <w:bCs/>
                <w:noProof/>
                <w:szCs w:val="24"/>
              </w:rPr>
            </w:pPr>
            <w:r>
              <w:rPr>
                <w:noProof/>
              </w:rPr>
              <w:t>8/5/2019</w:t>
            </w:r>
          </w:p>
        </w:tc>
        <w:tc>
          <w:tcPr>
            <w:tcW w:w="3517" w:type="dxa"/>
            <w:gridSpan w:val="2"/>
            <w:tcBorders>
              <w:top w:val="single" w:sz="12" w:space="0" w:color="auto"/>
              <w:bottom w:val="single" w:sz="12" w:space="0" w:color="auto"/>
            </w:tcBorders>
            <w:vAlign w:val="center"/>
          </w:tcPr>
          <w:p w:rsidR="00F8725A" w:rsidRDefault="00BE7D43">
            <w:pPr>
              <w:jc w:val="center"/>
              <w:textAlignment w:val="baseline"/>
              <w:rPr>
                <w:bCs/>
                <w:i/>
                <w:noProof/>
                <w:szCs w:val="24"/>
              </w:rPr>
            </w:pPr>
            <w:r>
              <w:rPr>
                <w:bCs/>
                <w:i/>
                <w:noProof/>
                <w:szCs w:val="24"/>
              </w:rPr>
              <w:t>Affaire T</w:t>
            </w:r>
            <w:r>
              <w:rPr>
                <w:bCs/>
                <w:i/>
                <w:noProof/>
                <w:szCs w:val="24"/>
              </w:rPr>
              <w:noBreakHyphen/>
              <w:t xml:space="preserve">170/17 </w:t>
            </w:r>
          </w:p>
          <w:p w:rsidR="00F8725A" w:rsidRDefault="00BE7D43">
            <w:pPr>
              <w:jc w:val="center"/>
              <w:textAlignment w:val="baseline"/>
              <w:rPr>
                <w:bCs/>
                <w:i/>
                <w:noProof/>
                <w:szCs w:val="24"/>
              </w:rPr>
            </w:pPr>
            <w:r>
              <w:rPr>
                <w:bCs/>
                <w:i/>
                <w:noProof/>
                <w:szCs w:val="24"/>
              </w:rPr>
              <w:t>RW/Commission</w:t>
            </w:r>
          </w:p>
        </w:tc>
        <w:tc>
          <w:tcPr>
            <w:tcW w:w="2037" w:type="dxa"/>
            <w:tcBorders>
              <w:top w:val="single" w:sz="12" w:space="0" w:color="auto"/>
              <w:bottom w:val="single" w:sz="12" w:space="0" w:color="auto"/>
            </w:tcBorders>
            <w:vAlign w:val="center"/>
          </w:tcPr>
          <w:p w:rsidR="00F8725A" w:rsidRDefault="00BE7D43">
            <w:pPr>
              <w:jc w:val="center"/>
              <w:textAlignment w:val="baseline"/>
              <w:rPr>
                <w:b/>
                <w:bCs/>
                <w:noProof/>
                <w:szCs w:val="24"/>
              </w:rPr>
            </w:pPr>
            <w:r>
              <w:rPr>
                <w:b/>
                <w:bCs/>
                <w:noProof/>
                <w:szCs w:val="24"/>
              </w:rPr>
              <w:t>Confirmé</w:t>
            </w:r>
          </w:p>
        </w:tc>
        <w:tc>
          <w:tcPr>
            <w:tcW w:w="6060" w:type="dxa"/>
            <w:tcBorders>
              <w:top w:val="single" w:sz="12" w:space="0" w:color="auto"/>
              <w:bottom w:val="single" w:sz="12" w:space="0" w:color="auto"/>
            </w:tcBorders>
            <w:vAlign w:val="center"/>
          </w:tcPr>
          <w:p w:rsidR="00F8725A" w:rsidRDefault="00BE7D43">
            <w:pPr>
              <w:textAlignment w:val="baseline"/>
              <w:rPr>
                <w:bCs/>
                <w:noProof/>
                <w:szCs w:val="24"/>
              </w:rPr>
            </w:pPr>
            <w:r>
              <w:rPr>
                <w:noProof/>
              </w:rPr>
              <w:t xml:space="preserve">L’autorité investie du pouvoir de nomination avait mis le requérant en congé dans l’intérêt du service. Parce qu’il avait atteint l’âge de la retraite, le requérant a été simultanément mis à la retraite d’office. </w:t>
            </w:r>
          </w:p>
          <w:p w:rsidR="00F8725A" w:rsidRDefault="00BE7D43">
            <w:pPr>
              <w:textAlignment w:val="baseline"/>
              <w:rPr>
                <w:noProof/>
              </w:rPr>
            </w:pPr>
            <w:r>
              <w:rPr>
                <w:noProof/>
              </w:rPr>
              <w:t>Le Tribunal a annulé la décision de la Commission au motif que l’article 42 </w:t>
            </w:r>
            <w:r>
              <w:rPr>
                <w:i/>
                <w:noProof/>
              </w:rPr>
              <w:t>quater</w:t>
            </w:r>
            <w:r>
              <w:rPr>
                <w:noProof/>
              </w:rPr>
              <w:t xml:space="preserve"> du statut ne s’applique pas au personnel ayant déjà atteint l’âge de la retraite. Plus particulièrement, le Tribunal a conclu que, si le congé dans l’intérêt du service doit avoir une certaine durée, il n’est pas possible, dans une seule et même décision, de mettre un fonctionnaire en congé dans l’intérêt du service et de le mettre à la retraite d’office.</w:t>
            </w:r>
          </w:p>
        </w:tc>
      </w:tr>
      <w:tr w:rsidR="00F8725A">
        <w:trPr>
          <w:trHeight w:val="1105"/>
          <w:jc w:val="center"/>
        </w:trPr>
        <w:tc>
          <w:tcPr>
            <w:tcW w:w="1777" w:type="dxa"/>
            <w:vMerge w:val="restart"/>
            <w:tcBorders>
              <w:top w:val="single" w:sz="12" w:space="0" w:color="auto"/>
            </w:tcBorders>
            <w:vAlign w:val="center"/>
          </w:tcPr>
          <w:p w:rsidR="00F8725A" w:rsidRDefault="00BE7D43">
            <w:pPr>
              <w:jc w:val="center"/>
              <w:textAlignment w:val="baseline"/>
              <w:rPr>
                <w:noProof/>
                <w:szCs w:val="24"/>
              </w:rPr>
            </w:pPr>
            <w:r>
              <w:rPr>
                <w:b/>
                <w:bCs/>
                <w:noProof/>
                <w:szCs w:val="24"/>
              </w:rPr>
              <w:t>Plafonnement des carrières</w:t>
            </w:r>
          </w:p>
        </w:tc>
        <w:tc>
          <w:tcPr>
            <w:tcW w:w="1544" w:type="dxa"/>
            <w:vMerge w:val="restart"/>
            <w:tcBorders>
              <w:top w:val="single" w:sz="12" w:space="0" w:color="auto"/>
            </w:tcBorders>
            <w:vAlign w:val="center"/>
          </w:tcPr>
          <w:p w:rsidR="00F8725A" w:rsidRDefault="00BE7D43">
            <w:pPr>
              <w:jc w:val="center"/>
              <w:textAlignment w:val="baseline"/>
              <w:rPr>
                <w:bCs/>
                <w:noProof/>
                <w:szCs w:val="24"/>
              </w:rPr>
            </w:pPr>
            <w:r>
              <w:rPr>
                <w:noProof/>
              </w:rPr>
              <w:t>14/12/2018</w:t>
            </w:r>
          </w:p>
          <w:p w:rsidR="00F8725A" w:rsidRDefault="00F8725A">
            <w:pPr>
              <w:jc w:val="center"/>
              <w:textAlignment w:val="baseline"/>
              <w:rPr>
                <w:b/>
                <w:bCs/>
                <w:noProof/>
                <w:szCs w:val="24"/>
                <w:lang w:val="en-IE"/>
              </w:rPr>
            </w:pPr>
          </w:p>
        </w:tc>
        <w:tc>
          <w:tcPr>
            <w:tcW w:w="3517" w:type="dxa"/>
            <w:gridSpan w:val="2"/>
            <w:tcBorders>
              <w:top w:val="single" w:sz="12" w:space="0" w:color="auto"/>
            </w:tcBorders>
            <w:vAlign w:val="center"/>
          </w:tcPr>
          <w:p w:rsidR="00F8725A" w:rsidRDefault="00BE7D43">
            <w:pPr>
              <w:jc w:val="center"/>
              <w:textAlignment w:val="baseline"/>
              <w:rPr>
                <w:bCs/>
                <w:i/>
                <w:noProof/>
                <w:szCs w:val="24"/>
              </w:rPr>
            </w:pPr>
            <w:r>
              <w:rPr>
                <w:bCs/>
                <w:i/>
                <w:noProof/>
                <w:szCs w:val="24"/>
              </w:rPr>
              <w:t>Affaire T</w:t>
            </w:r>
            <w:r>
              <w:rPr>
                <w:bCs/>
                <w:i/>
                <w:noProof/>
                <w:szCs w:val="24"/>
              </w:rPr>
              <w:noBreakHyphen/>
              <w:t>525/16</w:t>
            </w:r>
          </w:p>
          <w:p w:rsidR="00F8725A" w:rsidRDefault="00BE7D43">
            <w:pPr>
              <w:jc w:val="center"/>
              <w:textAlignment w:val="baseline"/>
              <w:rPr>
                <w:i/>
                <w:noProof/>
                <w:szCs w:val="24"/>
              </w:rPr>
            </w:pPr>
            <w:r>
              <w:rPr>
                <w:i/>
                <w:noProof/>
                <w:szCs w:val="24"/>
              </w:rPr>
              <w:t>GQ e.a. /Commission</w:t>
            </w:r>
          </w:p>
        </w:tc>
        <w:tc>
          <w:tcPr>
            <w:tcW w:w="2037" w:type="dxa"/>
            <w:vMerge w:val="restart"/>
            <w:tcBorders>
              <w:top w:val="single" w:sz="12" w:space="0" w:color="auto"/>
            </w:tcBorders>
            <w:vAlign w:val="center"/>
          </w:tcPr>
          <w:p w:rsidR="00F8725A" w:rsidRDefault="00BE7D43">
            <w:pPr>
              <w:jc w:val="center"/>
              <w:textAlignment w:val="baseline"/>
              <w:rPr>
                <w:b/>
                <w:bCs/>
                <w:noProof/>
                <w:szCs w:val="24"/>
              </w:rPr>
            </w:pPr>
            <w:r>
              <w:rPr>
                <w:b/>
                <w:bCs/>
                <w:noProof/>
                <w:szCs w:val="24"/>
              </w:rPr>
              <w:t>Refusé</w:t>
            </w:r>
          </w:p>
        </w:tc>
        <w:tc>
          <w:tcPr>
            <w:tcW w:w="6060" w:type="dxa"/>
            <w:vMerge w:val="restart"/>
            <w:tcBorders>
              <w:top w:val="single" w:sz="12" w:space="0" w:color="auto"/>
            </w:tcBorders>
            <w:vAlign w:val="center"/>
          </w:tcPr>
          <w:p w:rsidR="00F8725A" w:rsidRDefault="00BE7D43">
            <w:pPr>
              <w:textAlignment w:val="baseline"/>
              <w:rPr>
                <w:bCs/>
                <w:noProof/>
                <w:szCs w:val="24"/>
              </w:rPr>
            </w:pPr>
            <w:r>
              <w:rPr>
                <w:noProof/>
              </w:rPr>
              <w:t>La réforme du statut de 2014 a modifié la structure des carrières en limitant les promotions au-delà du grade AD 12 pour les administrateurs et du grade AST 9 pour les assistants aux fonctionnaires nommés à un poste impliquant des responsabilités particulières, à la suite d’une procédure de mise en concurrence avec un avis de vacance d’emploi.</w:t>
            </w:r>
          </w:p>
          <w:p w:rsidR="00F8725A" w:rsidRDefault="00F8725A">
            <w:pPr>
              <w:textAlignment w:val="baseline"/>
              <w:rPr>
                <w:bCs/>
                <w:noProof/>
                <w:szCs w:val="24"/>
                <w:lang w:val="fr-BE"/>
              </w:rPr>
            </w:pPr>
          </w:p>
          <w:p w:rsidR="00F8725A" w:rsidRDefault="00BE7D43">
            <w:pPr>
              <w:textAlignment w:val="baseline"/>
              <w:rPr>
                <w:bCs/>
                <w:noProof/>
                <w:szCs w:val="24"/>
              </w:rPr>
            </w:pPr>
            <w:r>
              <w:rPr>
                <w:noProof/>
              </w:rPr>
              <w:t>Dans les quatre affaires citées, des fonctionnaires appartenant aux grades AD 12 ou AD 13 et au grade AST 9 ont contesté la légalité de l’article 45 et de l’annexe I du statut, qui mettent en place ce nouveau système. Les arguments étaient notamment fondés sur une violation alléguée du principe d’égalité de traitement et du principe de protection de la confiance légitime en ce qui concerne la vocation à la carrière des fonctionnaires et le respect des droits acquis. Ces arguments ont tous été rejetés par le Tribunal, qui a confirmé la légalité des dispositions statutaires, visant à améliorer la corrélation entre les responsabilités dont sont investis les membres du personnel et leur grade.</w:t>
            </w:r>
          </w:p>
        </w:tc>
      </w:tr>
      <w:tr w:rsidR="00F8725A">
        <w:trPr>
          <w:trHeight w:val="1073"/>
          <w:jc w:val="center"/>
        </w:trPr>
        <w:tc>
          <w:tcPr>
            <w:tcW w:w="1777" w:type="dxa"/>
            <w:vMerge/>
          </w:tcPr>
          <w:p w:rsidR="00F8725A" w:rsidRDefault="00F8725A">
            <w:pPr>
              <w:jc w:val="center"/>
              <w:textAlignment w:val="baseline"/>
              <w:rPr>
                <w:b/>
                <w:bCs/>
                <w:noProof/>
                <w:szCs w:val="24"/>
                <w:lang w:val="fr-BE"/>
              </w:rPr>
            </w:pPr>
          </w:p>
        </w:tc>
        <w:tc>
          <w:tcPr>
            <w:tcW w:w="1544" w:type="dxa"/>
            <w:vMerge/>
          </w:tcPr>
          <w:p w:rsidR="00F8725A" w:rsidRDefault="00F8725A">
            <w:pPr>
              <w:textAlignment w:val="baseline"/>
              <w:rPr>
                <w:b/>
                <w:bCs/>
                <w:noProof/>
                <w:szCs w:val="24"/>
                <w:lang w:val="fr-BE"/>
              </w:rPr>
            </w:pPr>
          </w:p>
        </w:tc>
        <w:tc>
          <w:tcPr>
            <w:tcW w:w="3517" w:type="dxa"/>
            <w:gridSpan w:val="2"/>
            <w:vAlign w:val="center"/>
          </w:tcPr>
          <w:p w:rsidR="00F8725A" w:rsidRDefault="00BE7D43">
            <w:pPr>
              <w:jc w:val="center"/>
              <w:textAlignment w:val="baseline"/>
              <w:rPr>
                <w:bCs/>
                <w:i/>
                <w:noProof/>
                <w:szCs w:val="24"/>
              </w:rPr>
            </w:pPr>
            <w:r>
              <w:rPr>
                <w:bCs/>
                <w:i/>
                <w:noProof/>
                <w:szCs w:val="24"/>
              </w:rPr>
              <w:t>Affaire T</w:t>
            </w:r>
            <w:r>
              <w:rPr>
                <w:bCs/>
                <w:i/>
                <w:noProof/>
                <w:szCs w:val="24"/>
              </w:rPr>
              <w:noBreakHyphen/>
              <w:t>526/16</w:t>
            </w:r>
          </w:p>
          <w:p w:rsidR="00F8725A" w:rsidRDefault="00BE7D43">
            <w:pPr>
              <w:jc w:val="center"/>
              <w:textAlignment w:val="baseline"/>
              <w:rPr>
                <w:bCs/>
                <w:i/>
                <w:noProof/>
                <w:szCs w:val="24"/>
              </w:rPr>
            </w:pPr>
            <w:r>
              <w:rPr>
                <w:bCs/>
                <w:i/>
                <w:noProof/>
                <w:szCs w:val="24"/>
              </w:rPr>
              <w:t>FZ e.a. /Commission</w:t>
            </w:r>
          </w:p>
        </w:tc>
        <w:tc>
          <w:tcPr>
            <w:tcW w:w="2037" w:type="dxa"/>
            <w:vMerge/>
            <w:vAlign w:val="center"/>
          </w:tcPr>
          <w:p w:rsidR="00F8725A" w:rsidRDefault="00F8725A">
            <w:pPr>
              <w:textAlignment w:val="baseline"/>
              <w:rPr>
                <w:b/>
                <w:bCs/>
                <w:noProof/>
                <w:szCs w:val="24"/>
                <w:lang w:val="fr-BE"/>
              </w:rPr>
            </w:pPr>
          </w:p>
        </w:tc>
        <w:tc>
          <w:tcPr>
            <w:tcW w:w="6060" w:type="dxa"/>
            <w:vMerge/>
          </w:tcPr>
          <w:p w:rsidR="00F8725A" w:rsidRDefault="00F8725A">
            <w:pPr>
              <w:textAlignment w:val="baseline"/>
              <w:rPr>
                <w:b/>
                <w:bCs/>
                <w:noProof/>
                <w:szCs w:val="24"/>
                <w:lang w:val="fr-BE"/>
              </w:rPr>
            </w:pPr>
          </w:p>
        </w:tc>
      </w:tr>
      <w:tr w:rsidR="00F8725A">
        <w:trPr>
          <w:trHeight w:val="1183"/>
          <w:jc w:val="center"/>
        </w:trPr>
        <w:tc>
          <w:tcPr>
            <w:tcW w:w="1777" w:type="dxa"/>
            <w:vMerge/>
          </w:tcPr>
          <w:p w:rsidR="00F8725A" w:rsidRDefault="00F8725A">
            <w:pPr>
              <w:jc w:val="center"/>
              <w:textAlignment w:val="baseline"/>
              <w:rPr>
                <w:b/>
                <w:bCs/>
                <w:noProof/>
                <w:szCs w:val="24"/>
                <w:lang w:val="fr-BE"/>
              </w:rPr>
            </w:pPr>
          </w:p>
        </w:tc>
        <w:tc>
          <w:tcPr>
            <w:tcW w:w="1544" w:type="dxa"/>
            <w:vMerge/>
          </w:tcPr>
          <w:p w:rsidR="00F8725A" w:rsidRDefault="00F8725A">
            <w:pPr>
              <w:textAlignment w:val="baseline"/>
              <w:rPr>
                <w:b/>
                <w:bCs/>
                <w:noProof/>
                <w:szCs w:val="24"/>
                <w:lang w:val="fr-BE"/>
              </w:rPr>
            </w:pPr>
          </w:p>
        </w:tc>
        <w:tc>
          <w:tcPr>
            <w:tcW w:w="3517" w:type="dxa"/>
            <w:gridSpan w:val="2"/>
            <w:vAlign w:val="center"/>
          </w:tcPr>
          <w:p w:rsidR="00F8725A" w:rsidRDefault="00BE7D43">
            <w:pPr>
              <w:jc w:val="center"/>
              <w:textAlignment w:val="baseline"/>
              <w:rPr>
                <w:bCs/>
                <w:i/>
                <w:noProof/>
                <w:szCs w:val="24"/>
              </w:rPr>
            </w:pPr>
            <w:r>
              <w:rPr>
                <w:bCs/>
                <w:i/>
                <w:noProof/>
                <w:szCs w:val="24"/>
              </w:rPr>
              <w:t>Affaire T</w:t>
            </w:r>
            <w:r>
              <w:rPr>
                <w:bCs/>
                <w:i/>
                <w:noProof/>
                <w:szCs w:val="24"/>
              </w:rPr>
              <w:noBreakHyphen/>
              <w:t>539/16</w:t>
            </w:r>
          </w:p>
          <w:p w:rsidR="00F8725A" w:rsidRDefault="00BE7D43">
            <w:pPr>
              <w:jc w:val="center"/>
              <w:textAlignment w:val="baseline"/>
              <w:rPr>
                <w:bCs/>
                <w:i/>
                <w:noProof/>
                <w:szCs w:val="24"/>
              </w:rPr>
            </w:pPr>
            <w:r>
              <w:rPr>
                <w:bCs/>
                <w:i/>
                <w:noProof/>
                <w:szCs w:val="24"/>
              </w:rPr>
              <w:t>GM e.a./Commission</w:t>
            </w:r>
          </w:p>
        </w:tc>
        <w:tc>
          <w:tcPr>
            <w:tcW w:w="2037" w:type="dxa"/>
            <w:vMerge/>
            <w:vAlign w:val="center"/>
          </w:tcPr>
          <w:p w:rsidR="00F8725A" w:rsidRDefault="00F8725A">
            <w:pPr>
              <w:textAlignment w:val="baseline"/>
              <w:rPr>
                <w:b/>
                <w:bCs/>
                <w:noProof/>
                <w:szCs w:val="24"/>
                <w:lang w:val="fr-BE"/>
              </w:rPr>
            </w:pPr>
          </w:p>
        </w:tc>
        <w:tc>
          <w:tcPr>
            <w:tcW w:w="6060" w:type="dxa"/>
            <w:vMerge/>
          </w:tcPr>
          <w:p w:rsidR="00F8725A" w:rsidRDefault="00F8725A">
            <w:pPr>
              <w:textAlignment w:val="baseline"/>
              <w:rPr>
                <w:b/>
                <w:bCs/>
                <w:noProof/>
                <w:szCs w:val="24"/>
                <w:lang w:val="fr-BE"/>
              </w:rPr>
            </w:pPr>
          </w:p>
        </w:tc>
      </w:tr>
      <w:tr w:rsidR="00F8725A">
        <w:trPr>
          <w:trHeight w:val="961"/>
          <w:jc w:val="center"/>
        </w:trPr>
        <w:tc>
          <w:tcPr>
            <w:tcW w:w="1777" w:type="dxa"/>
            <w:vMerge/>
          </w:tcPr>
          <w:p w:rsidR="00F8725A" w:rsidRDefault="00F8725A">
            <w:pPr>
              <w:jc w:val="center"/>
              <w:textAlignment w:val="baseline"/>
              <w:rPr>
                <w:b/>
                <w:bCs/>
                <w:noProof/>
                <w:szCs w:val="24"/>
                <w:lang w:val="fr-BE"/>
              </w:rPr>
            </w:pPr>
          </w:p>
        </w:tc>
        <w:tc>
          <w:tcPr>
            <w:tcW w:w="1544" w:type="dxa"/>
            <w:vMerge/>
          </w:tcPr>
          <w:p w:rsidR="00F8725A" w:rsidRDefault="00F8725A">
            <w:pPr>
              <w:textAlignment w:val="baseline"/>
              <w:rPr>
                <w:b/>
                <w:bCs/>
                <w:noProof/>
                <w:szCs w:val="24"/>
                <w:lang w:val="fr-BE"/>
              </w:rPr>
            </w:pPr>
          </w:p>
        </w:tc>
        <w:tc>
          <w:tcPr>
            <w:tcW w:w="3517" w:type="dxa"/>
            <w:gridSpan w:val="2"/>
            <w:tcBorders>
              <w:bottom w:val="single" w:sz="12" w:space="0" w:color="auto"/>
            </w:tcBorders>
            <w:vAlign w:val="center"/>
          </w:tcPr>
          <w:p w:rsidR="00F8725A" w:rsidRDefault="00BE7D43">
            <w:pPr>
              <w:jc w:val="center"/>
              <w:textAlignment w:val="baseline"/>
              <w:rPr>
                <w:bCs/>
                <w:i/>
                <w:noProof/>
                <w:szCs w:val="24"/>
              </w:rPr>
            </w:pPr>
            <w:r>
              <w:rPr>
                <w:bCs/>
                <w:i/>
                <w:noProof/>
                <w:szCs w:val="24"/>
              </w:rPr>
              <w:t>Affaire T</w:t>
            </w:r>
            <w:r>
              <w:rPr>
                <w:bCs/>
                <w:i/>
                <w:noProof/>
                <w:szCs w:val="24"/>
              </w:rPr>
              <w:noBreakHyphen/>
              <w:t>540/16</w:t>
            </w:r>
          </w:p>
          <w:p w:rsidR="00F8725A" w:rsidRDefault="00BE7D43">
            <w:pPr>
              <w:jc w:val="center"/>
              <w:textAlignment w:val="baseline"/>
              <w:rPr>
                <w:bCs/>
                <w:i/>
                <w:noProof/>
                <w:szCs w:val="24"/>
              </w:rPr>
            </w:pPr>
            <w:r>
              <w:rPr>
                <w:bCs/>
                <w:i/>
                <w:noProof/>
                <w:szCs w:val="24"/>
              </w:rPr>
              <w:t>FZ e.a. /Commission</w:t>
            </w:r>
          </w:p>
        </w:tc>
        <w:tc>
          <w:tcPr>
            <w:tcW w:w="2037" w:type="dxa"/>
            <w:vMerge/>
            <w:vAlign w:val="center"/>
          </w:tcPr>
          <w:p w:rsidR="00F8725A" w:rsidRDefault="00F8725A">
            <w:pPr>
              <w:textAlignment w:val="baseline"/>
              <w:rPr>
                <w:b/>
                <w:bCs/>
                <w:noProof/>
                <w:szCs w:val="24"/>
                <w:lang w:val="fr-BE"/>
              </w:rPr>
            </w:pPr>
          </w:p>
        </w:tc>
        <w:tc>
          <w:tcPr>
            <w:tcW w:w="6060" w:type="dxa"/>
            <w:vMerge/>
          </w:tcPr>
          <w:p w:rsidR="00F8725A" w:rsidRDefault="00F8725A">
            <w:pPr>
              <w:textAlignment w:val="baseline"/>
              <w:rPr>
                <w:b/>
                <w:bCs/>
                <w:noProof/>
                <w:szCs w:val="24"/>
                <w:lang w:val="fr-BE"/>
              </w:rPr>
            </w:pPr>
          </w:p>
        </w:tc>
      </w:tr>
      <w:tr w:rsidR="00F8725A">
        <w:trPr>
          <w:trHeight w:val="821"/>
          <w:jc w:val="center"/>
        </w:trPr>
        <w:tc>
          <w:tcPr>
            <w:tcW w:w="1777" w:type="dxa"/>
            <w:vMerge w:val="restart"/>
            <w:tcBorders>
              <w:top w:val="single" w:sz="12" w:space="0" w:color="auto"/>
            </w:tcBorders>
            <w:vAlign w:val="center"/>
          </w:tcPr>
          <w:p w:rsidR="00F8725A" w:rsidRDefault="00BE7D43">
            <w:pPr>
              <w:jc w:val="center"/>
              <w:textAlignment w:val="baseline"/>
              <w:rPr>
                <w:b/>
                <w:bCs/>
                <w:noProof/>
                <w:szCs w:val="24"/>
              </w:rPr>
            </w:pPr>
            <w:r>
              <w:rPr>
                <w:b/>
                <w:bCs/>
                <w:noProof/>
                <w:szCs w:val="24"/>
              </w:rPr>
              <w:t>Droits au congé annuel/indemnité de voyage</w:t>
            </w:r>
          </w:p>
        </w:tc>
        <w:tc>
          <w:tcPr>
            <w:tcW w:w="1544" w:type="dxa"/>
            <w:vMerge w:val="restart"/>
            <w:tcBorders>
              <w:top w:val="single" w:sz="12" w:space="0" w:color="auto"/>
            </w:tcBorders>
            <w:vAlign w:val="center"/>
          </w:tcPr>
          <w:p w:rsidR="00F8725A" w:rsidRDefault="00F8725A">
            <w:pPr>
              <w:textAlignment w:val="baseline"/>
              <w:rPr>
                <w:b/>
                <w:bCs/>
                <w:noProof/>
                <w:szCs w:val="24"/>
                <w:lang w:val="fr-BE"/>
              </w:rPr>
            </w:pPr>
          </w:p>
        </w:tc>
        <w:tc>
          <w:tcPr>
            <w:tcW w:w="1582" w:type="dxa"/>
            <w:tcBorders>
              <w:top w:val="single" w:sz="12" w:space="0" w:color="auto"/>
            </w:tcBorders>
            <w:vAlign w:val="center"/>
          </w:tcPr>
          <w:p w:rsidR="00F8725A" w:rsidRDefault="00BE7D43">
            <w:pPr>
              <w:jc w:val="center"/>
              <w:textAlignment w:val="baseline"/>
              <w:rPr>
                <w:bCs/>
                <w:i/>
                <w:noProof/>
                <w:sz w:val="20"/>
              </w:rPr>
            </w:pPr>
            <w:r>
              <w:rPr>
                <w:bCs/>
                <w:i/>
                <w:noProof/>
                <w:sz w:val="20"/>
              </w:rPr>
              <w:t>Affaire T</w:t>
            </w:r>
            <w:r>
              <w:rPr>
                <w:bCs/>
                <w:i/>
                <w:noProof/>
                <w:sz w:val="20"/>
              </w:rPr>
              <w:noBreakHyphen/>
              <w:t>514/16 Tsilikas/Commission</w:t>
            </w:r>
          </w:p>
        </w:tc>
        <w:tc>
          <w:tcPr>
            <w:tcW w:w="1935" w:type="dxa"/>
            <w:tcBorders>
              <w:top w:val="single" w:sz="12" w:space="0" w:color="auto"/>
            </w:tcBorders>
            <w:vAlign w:val="center"/>
          </w:tcPr>
          <w:p w:rsidR="00F8725A" w:rsidRDefault="00BE7D43">
            <w:pPr>
              <w:jc w:val="center"/>
              <w:textAlignment w:val="baseline"/>
              <w:rPr>
                <w:bCs/>
                <w:i/>
                <w:noProof/>
                <w:sz w:val="20"/>
              </w:rPr>
            </w:pPr>
            <w:r>
              <w:rPr>
                <w:bCs/>
                <w:i/>
                <w:noProof/>
                <w:sz w:val="20"/>
              </w:rPr>
              <w:t>Affaire T</w:t>
            </w:r>
            <w:r>
              <w:rPr>
                <w:bCs/>
                <w:i/>
                <w:noProof/>
                <w:sz w:val="20"/>
              </w:rPr>
              <w:noBreakHyphen/>
              <w:t xml:space="preserve">515/16 </w:t>
            </w:r>
          </w:p>
          <w:p w:rsidR="00F8725A" w:rsidRDefault="00BE7D43">
            <w:pPr>
              <w:jc w:val="center"/>
              <w:textAlignment w:val="baseline"/>
              <w:rPr>
                <w:bCs/>
                <w:i/>
                <w:noProof/>
                <w:sz w:val="20"/>
              </w:rPr>
            </w:pPr>
            <w:r>
              <w:rPr>
                <w:bCs/>
                <w:i/>
                <w:noProof/>
                <w:sz w:val="20"/>
              </w:rPr>
              <w:t>Kanellou/Conseil</w:t>
            </w:r>
          </w:p>
        </w:tc>
        <w:tc>
          <w:tcPr>
            <w:tcW w:w="2037" w:type="dxa"/>
            <w:vMerge w:val="restart"/>
            <w:tcBorders>
              <w:top w:val="single" w:sz="12" w:space="0" w:color="auto"/>
            </w:tcBorders>
            <w:vAlign w:val="center"/>
          </w:tcPr>
          <w:p w:rsidR="00F8725A" w:rsidRDefault="00BE7D43">
            <w:pPr>
              <w:jc w:val="center"/>
              <w:textAlignment w:val="baseline"/>
              <w:rPr>
                <w:b/>
                <w:bCs/>
                <w:noProof/>
                <w:szCs w:val="24"/>
              </w:rPr>
            </w:pPr>
            <w:r>
              <w:rPr>
                <w:b/>
                <w:bCs/>
                <w:noProof/>
                <w:szCs w:val="24"/>
              </w:rPr>
              <w:t>Refusé</w:t>
            </w:r>
          </w:p>
        </w:tc>
        <w:tc>
          <w:tcPr>
            <w:tcW w:w="6060" w:type="dxa"/>
            <w:vMerge w:val="restart"/>
            <w:tcBorders>
              <w:top w:val="single" w:sz="12" w:space="0" w:color="auto"/>
            </w:tcBorders>
            <w:vAlign w:val="center"/>
          </w:tcPr>
          <w:p w:rsidR="00F8725A" w:rsidRDefault="00F8725A">
            <w:pPr>
              <w:textAlignment w:val="baseline"/>
              <w:rPr>
                <w:bCs/>
                <w:noProof/>
                <w:szCs w:val="24"/>
                <w:lang w:val="fr-BE"/>
              </w:rPr>
            </w:pPr>
          </w:p>
          <w:p w:rsidR="00F8725A" w:rsidRDefault="00BE7D43">
            <w:pPr>
              <w:textAlignment w:val="baseline"/>
              <w:rPr>
                <w:bCs/>
                <w:noProof/>
                <w:szCs w:val="24"/>
              </w:rPr>
            </w:pPr>
            <w:r>
              <w:rPr>
                <w:noProof/>
              </w:rPr>
              <w:t>Dans plusieurs de ces affaires, les requérants ont contesté la légalité de l’article 7 de l’annexe V et/ou de l’article 8 de l’annexe VII du statut, tels que modifiés par le règlement nº 1023/2013. La réforme a supprimé le droit au congé pour délai de route et le remboursement forfaitaire des frais de voyage annuel vers le lieu d’origine pour les fonctionnaires et autres agents qui n’ont pas bénéficié de l’indemnité de dépaysement ou d’expatriation, et l’a modifié pour ceux dont le lieu d’origine a été établi à l’extérieur de l’Union, qui sont remboursés de leurs frais de voyage annuel vers la capitale de l’État membre dont ils sont ressortissants.</w:t>
            </w:r>
          </w:p>
          <w:p w:rsidR="00F8725A" w:rsidRDefault="00F8725A">
            <w:pPr>
              <w:textAlignment w:val="baseline"/>
              <w:rPr>
                <w:bCs/>
                <w:noProof/>
                <w:szCs w:val="24"/>
                <w:lang w:val="fr-BE"/>
              </w:rPr>
            </w:pPr>
          </w:p>
          <w:p w:rsidR="00F8725A" w:rsidRDefault="00BE7D43">
            <w:pPr>
              <w:textAlignment w:val="baseline"/>
              <w:rPr>
                <w:bCs/>
                <w:noProof/>
                <w:szCs w:val="24"/>
              </w:rPr>
            </w:pPr>
            <w:r>
              <w:rPr>
                <w:noProof/>
              </w:rPr>
              <w:t>Le Tribunal a rejeté ces requêtes et a rappelé notamment la jurisprudence constante selon laquelle un fonctionnaire ne peut se prévaloir du principe de protection de la confiance légitime pour mettre en cause la légalité d’une disposition réglementaire nouvelle, surtout dans un domaine dont l’objet comporte une constante adaptation en fonction des variations de la situation économique. En outre, il a souligné que les fonctionnaires n’ont pas droit au maintien du statut tel qu’il existait au moment de leur recrutement.</w:t>
            </w:r>
          </w:p>
        </w:tc>
      </w:tr>
      <w:tr w:rsidR="00F8725A">
        <w:trPr>
          <w:trHeight w:val="852"/>
          <w:jc w:val="center"/>
        </w:trPr>
        <w:tc>
          <w:tcPr>
            <w:tcW w:w="1777" w:type="dxa"/>
            <w:vMerge/>
          </w:tcPr>
          <w:p w:rsidR="00F8725A" w:rsidRDefault="00F8725A">
            <w:pPr>
              <w:jc w:val="center"/>
              <w:textAlignment w:val="baseline"/>
              <w:rPr>
                <w:b/>
                <w:bCs/>
                <w:noProof/>
                <w:szCs w:val="24"/>
                <w:lang w:val="fr-BE"/>
              </w:rPr>
            </w:pPr>
          </w:p>
        </w:tc>
        <w:tc>
          <w:tcPr>
            <w:tcW w:w="1544" w:type="dxa"/>
            <w:vMerge/>
          </w:tcPr>
          <w:p w:rsidR="00F8725A" w:rsidRDefault="00F8725A">
            <w:pPr>
              <w:textAlignment w:val="baseline"/>
              <w:rPr>
                <w:b/>
                <w:bCs/>
                <w:noProof/>
                <w:szCs w:val="24"/>
                <w:lang w:val="fr-BE"/>
              </w:rPr>
            </w:pPr>
          </w:p>
        </w:tc>
        <w:tc>
          <w:tcPr>
            <w:tcW w:w="1582" w:type="dxa"/>
            <w:vAlign w:val="center"/>
          </w:tcPr>
          <w:p w:rsidR="00F8725A" w:rsidRDefault="00BE7D43">
            <w:pPr>
              <w:jc w:val="center"/>
              <w:textAlignment w:val="baseline"/>
              <w:rPr>
                <w:bCs/>
                <w:i/>
                <w:noProof/>
                <w:sz w:val="20"/>
              </w:rPr>
            </w:pPr>
            <w:r>
              <w:rPr>
                <w:bCs/>
                <w:i/>
                <w:noProof/>
                <w:sz w:val="20"/>
              </w:rPr>
              <w:t>Affaire T</w:t>
            </w:r>
            <w:r>
              <w:rPr>
                <w:bCs/>
                <w:i/>
                <w:noProof/>
                <w:sz w:val="20"/>
              </w:rPr>
              <w:noBreakHyphen/>
              <w:t>516/16 Alvarez y Bejarano e.a./ Commission</w:t>
            </w:r>
          </w:p>
        </w:tc>
        <w:tc>
          <w:tcPr>
            <w:tcW w:w="1935" w:type="dxa"/>
            <w:vAlign w:val="center"/>
          </w:tcPr>
          <w:p w:rsidR="00F8725A" w:rsidRDefault="00BE7D43">
            <w:pPr>
              <w:jc w:val="center"/>
              <w:textAlignment w:val="baseline"/>
              <w:rPr>
                <w:bCs/>
                <w:i/>
                <w:noProof/>
                <w:sz w:val="20"/>
              </w:rPr>
            </w:pPr>
            <w:r>
              <w:rPr>
                <w:bCs/>
                <w:i/>
                <w:noProof/>
                <w:sz w:val="20"/>
              </w:rPr>
              <w:t>Affaire T</w:t>
            </w:r>
            <w:r>
              <w:rPr>
                <w:bCs/>
                <w:i/>
                <w:noProof/>
                <w:sz w:val="20"/>
              </w:rPr>
              <w:noBreakHyphen/>
              <w:t>521/16</w:t>
            </w:r>
          </w:p>
          <w:p w:rsidR="00F8725A" w:rsidRDefault="00BE7D43">
            <w:pPr>
              <w:jc w:val="center"/>
              <w:textAlignment w:val="baseline"/>
              <w:rPr>
                <w:bCs/>
                <w:i/>
                <w:noProof/>
                <w:sz w:val="20"/>
              </w:rPr>
            </w:pPr>
            <w:r>
              <w:rPr>
                <w:bCs/>
                <w:i/>
                <w:noProof/>
                <w:sz w:val="20"/>
              </w:rPr>
              <w:t>Bergallou/Conseil</w:t>
            </w:r>
          </w:p>
        </w:tc>
        <w:tc>
          <w:tcPr>
            <w:tcW w:w="2037" w:type="dxa"/>
            <w:vMerge/>
            <w:vAlign w:val="center"/>
          </w:tcPr>
          <w:p w:rsidR="00F8725A" w:rsidRDefault="00F8725A">
            <w:pPr>
              <w:textAlignment w:val="baseline"/>
              <w:rPr>
                <w:b/>
                <w:bCs/>
                <w:noProof/>
                <w:szCs w:val="24"/>
                <w:lang w:val="en-IE"/>
              </w:rPr>
            </w:pPr>
          </w:p>
        </w:tc>
        <w:tc>
          <w:tcPr>
            <w:tcW w:w="6060" w:type="dxa"/>
            <w:vMerge/>
          </w:tcPr>
          <w:p w:rsidR="00F8725A" w:rsidRDefault="00F8725A">
            <w:pPr>
              <w:textAlignment w:val="baseline"/>
              <w:rPr>
                <w:b/>
                <w:bCs/>
                <w:noProof/>
                <w:szCs w:val="24"/>
                <w:lang w:val="en-IE"/>
              </w:rPr>
            </w:pPr>
          </w:p>
        </w:tc>
      </w:tr>
      <w:tr w:rsidR="00F8725A">
        <w:trPr>
          <w:trHeight w:val="908"/>
          <w:jc w:val="center"/>
        </w:trPr>
        <w:tc>
          <w:tcPr>
            <w:tcW w:w="1777" w:type="dxa"/>
            <w:vMerge/>
          </w:tcPr>
          <w:p w:rsidR="00F8725A" w:rsidRDefault="00F8725A">
            <w:pPr>
              <w:jc w:val="center"/>
              <w:textAlignment w:val="baseline"/>
              <w:rPr>
                <w:b/>
                <w:bCs/>
                <w:noProof/>
                <w:szCs w:val="24"/>
                <w:lang w:val="en-IE"/>
              </w:rPr>
            </w:pPr>
          </w:p>
        </w:tc>
        <w:tc>
          <w:tcPr>
            <w:tcW w:w="1544" w:type="dxa"/>
            <w:vMerge/>
          </w:tcPr>
          <w:p w:rsidR="00F8725A" w:rsidRDefault="00F8725A">
            <w:pPr>
              <w:textAlignment w:val="baseline"/>
              <w:rPr>
                <w:b/>
                <w:bCs/>
                <w:noProof/>
                <w:szCs w:val="24"/>
                <w:lang w:val="en-IE"/>
              </w:rPr>
            </w:pPr>
          </w:p>
        </w:tc>
        <w:tc>
          <w:tcPr>
            <w:tcW w:w="1582" w:type="dxa"/>
            <w:vAlign w:val="center"/>
          </w:tcPr>
          <w:p w:rsidR="00F8725A" w:rsidRDefault="00BE7D43">
            <w:pPr>
              <w:jc w:val="center"/>
              <w:textAlignment w:val="baseline"/>
              <w:rPr>
                <w:bCs/>
                <w:i/>
                <w:noProof/>
                <w:sz w:val="20"/>
              </w:rPr>
            </w:pPr>
            <w:r>
              <w:rPr>
                <w:bCs/>
                <w:i/>
                <w:noProof/>
                <w:sz w:val="20"/>
              </w:rPr>
              <w:t>Affaire T</w:t>
            </w:r>
            <w:r>
              <w:rPr>
                <w:bCs/>
                <w:i/>
                <w:noProof/>
                <w:sz w:val="20"/>
              </w:rPr>
              <w:noBreakHyphen/>
              <w:t xml:space="preserve">522/16 </w:t>
            </w:r>
          </w:p>
          <w:p w:rsidR="00F8725A" w:rsidRDefault="00BE7D43">
            <w:pPr>
              <w:jc w:val="center"/>
              <w:textAlignment w:val="baseline"/>
              <w:rPr>
                <w:bCs/>
                <w:i/>
                <w:noProof/>
                <w:sz w:val="20"/>
              </w:rPr>
            </w:pPr>
            <w:r>
              <w:rPr>
                <w:bCs/>
                <w:i/>
                <w:noProof/>
                <w:sz w:val="20"/>
              </w:rPr>
              <w:t>Huynh Duong Vi Nguyen/Conseil</w:t>
            </w:r>
          </w:p>
        </w:tc>
        <w:tc>
          <w:tcPr>
            <w:tcW w:w="1935" w:type="dxa"/>
            <w:vAlign w:val="center"/>
          </w:tcPr>
          <w:p w:rsidR="00F8725A" w:rsidRDefault="00BE7D43">
            <w:pPr>
              <w:jc w:val="center"/>
              <w:textAlignment w:val="baseline"/>
              <w:rPr>
                <w:bCs/>
                <w:i/>
                <w:noProof/>
                <w:sz w:val="20"/>
              </w:rPr>
            </w:pPr>
            <w:r>
              <w:rPr>
                <w:bCs/>
                <w:i/>
                <w:noProof/>
                <w:sz w:val="20"/>
              </w:rPr>
              <w:t>Affaire T</w:t>
            </w:r>
            <w:r>
              <w:rPr>
                <w:bCs/>
                <w:i/>
                <w:noProof/>
                <w:sz w:val="20"/>
              </w:rPr>
              <w:noBreakHyphen/>
              <w:t>523/16</w:t>
            </w:r>
          </w:p>
          <w:p w:rsidR="00F8725A" w:rsidRDefault="00BE7D43">
            <w:pPr>
              <w:jc w:val="center"/>
              <w:textAlignment w:val="baseline"/>
              <w:rPr>
                <w:bCs/>
                <w:i/>
                <w:noProof/>
                <w:sz w:val="20"/>
              </w:rPr>
            </w:pPr>
            <w:r>
              <w:rPr>
                <w:bCs/>
                <w:i/>
                <w:noProof/>
                <w:sz w:val="20"/>
              </w:rPr>
              <w:t>Ardalic e.a. /Conseil</w:t>
            </w:r>
          </w:p>
        </w:tc>
        <w:tc>
          <w:tcPr>
            <w:tcW w:w="2037" w:type="dxa"/>
            <w:vMerge/>
            <w:vAlign w:val="center"/>
          </w:tcPr>
          <w:p w:rsidR="00F8725A" w:rsidRDefault="00F8725A">
            <w:pPr>
              <w:textAlignment w:val="baseline"/>
              <w:rPr>
                <w:b/>
                <w:bCs/>
                <w:noProof/>
                <w:szCs w:val="24"/>
                <w:lang w:val="fr-BE"/>
              </w:rPr>
            </w:pPr>
          </w:p>
        </w:tc>
        <w:tc>
          <w:tcPr>
            <w:tcW w:w="6060" w:type="dxa"/>
            <w:vMerge/>
          </w:tcPr>
          <w:p w:rsidR="00F8725A" w:rsidRDefault="00F8725A">
            <w:pPr>
              <w:textAlignment w:val="baseline"/>
              <w:rPr>
                <w:b/>
                <w:bCs/>
                <w:noProof/>
                <w:szCs w:val="24"/>
                <w:lang w:val="fr-BE"/>
              </w:rPr>
            </w:pPr>
          </w:p>
        </w:tc>
      </w:tr>
      <w:tr w:rsidR="00F8725A">
        <w:trPr>
          <w:trHeight w:val="274"/>
          <w:jc w:val="center"/>
        </w:trPr>
        <w:tc>
          <w:tcPr>
            <w:tcW w:w="1777" w:type="dxa"/>
            <w:vMerge/>
          </w:tcPr>
          <w:p w:rsidR="00F8725A" w:rsidRDefault="00F8725A">
            <w:pPr>
              <w:jc w:val="center"/>
              <w:textAlignment w:val="baseline"/>
              <w:rPr>
                <w:b/>
                <w:bCs/>
                <w:noProof/>
                <w:szCs w:val="24"/>
                <w:lang w:val="fr-BE"/>
              </w:rPr>
            </w:pPr>
          </w:p>
        </w:tc>
        <w:tc>
          <w:tcPr>
            <w:tcW w:w="1544" w:type="dxa"/>
            <w:vMerge/>
          </w:tcPr>
          <w:p w:rsidR="00F8725A" w:rsidRDefault="00F8725A">
            <w:pPr>
              <w:textAlignment w:val="baseline"/>
              <w:rPr>
                <w:b/>
                <w:bCs/>
                <w:noProof/>
                <w:szCs w:val="24"/>
                <w:lang w:val="fr-BE"/>
              </w:rPr>
            </w:pPr>
          </w:p>
        </w:tc>
        <w:tc>
          <w:tcPr>
            <w:tcW w:w="1582" w:type="dxa"/>
            <w:vAlign w:val="center"/>
          </w:tcPr>
          <w:p w:rsidR="00F8725A" w:rsidRDefault="00BE7D43">
            <w:pPr>
              <w:jc w:val="center"/>
              <w:rPr>
                <w:bCs/>
                <w:i/>
                <w:noProof/>
                <w:sz w:val="20"/>
              </w:rPr>
            </w:pPr>
            <w:r>
              <w:rPr>
                <w:bCs/>
                <w:i/>
                <w:noProof/>
                <w:sz w:val="20"/>
              </w:rPr>
              <w:t>Affaire T</w:t>
            </w:r>
            <w:r>
              <w:rPr>
                <w:bCs/>
                <w:i/>
                <w:noProof/>
                <w:sz w:val="20"/>
              </w:rPr>
              <w:noBreakHyphen/>
              <w:t xml:space="preserve">524/16 </w:t>
            </w:r>
          </w:p>
          <w:p w:rsidR="00F8725A" w:rsidRDefault="00BE7D43">
            <w:pPr>
              <w:jc w:val="center"/>
              <w:rPr>
                <w:bCs/>
                <w:i/>
                <w:noProof/>
                <w:sz w:val="20"/>
              </w:rPr>
            </w:pPr>
            <w:r>
              <w:rPr>
                <w:bCs/>
                <w:i/>
                <w:noProof/>
                <w:sz w:val="20"/>
              </w:rPr>
              <w:t>Aresu/Commission</w:t>
            </w:r>
          </w:p>
          <w:p w:rsidR="00F8725A" w:rsidRDefault="00F8725A">
            <w:pPr>
              <w:jc w:val="center"/>
              <w:textAlignment w:val="baseline"/>
              <w:rPr>
                <w:bCs/>
                <w:i/>
                <w:noProof/>
                <w:sz w:val="20"/>
                <w:lang w:val="en-IE"/>
              </w:rPr>
            </w:pPr>
          </w:p>
        </w:tc>
        <w:tc>
          <w:tcPr>
            <w:tcW w:w="1935" w:type="dxa"/>
            <w:vAlign w:val="center"/>
          </w:tcPr>
          <w:p w:rsidR="00F8725A" w:rsidRDefault="00BE7D43">
            <w:pPr>
              <w:jc w:val="center"/>
              <w:textAlignment w:val="baseline"/>
              <w:rPr>
                <w:bCs/>
                <w:i/>
                <w:noProof/>
                <w:sz w:val="20"/>
              </w:rPr>
            </w:pPr>
            <w:r>
              <w:rPr>
                <w:bCs/>
                <w:i/>
                <w:noProof/>
                <w:sz w:val="20"/>
              </w:rPr>
              <w:t>Affaire T</w:t>
            </w:r>
            <w:r>
              <w:rPr>
                <w:bCs/>
                <w:i/>
                <w:noProof/>
                <w:sz w:val="20"/>
              </w:rPr>
              <w:noBreakHyphen/>
              <w:t xml:space="preserve">531/16 </w:t>
            </w:r>
          </w:p>
          <w:p w:rsidR="00F8725A" w:rsidRDefault="00BE7D43">
            <w:pPr>
              <w:jc w:val="center"/>
              <w:textAlignment w:val="baseline"/>
              <w:rPr>
                <w:bCs/>
                <w:i/>
                <w:noProof/>
                <w:sz w:val="20"/>
              </w:rPr>
            </w:pPr>
            <w:r>
              <w:rPr>
                <w:bCs/>
                <w:i/>
                <w:noProof/>
                <w:sz w:val="20"/>
              </w:rPr>
              <w:t>Dumitrescu a.e. /Commission</w:t>
            </w:r>
          </w:p>
        </w:tc>
        <w:tc>
          <w:tcPr>
            <w:tcW w:w="2037" w:type="dxa"/>
            <w:vMerge/>
            <w:vAlign w:val="center"/>
          </w:tcPr>
          <w:p w:rsidR="00F8725A" w:rsidRDefault="00F8725A">
            <w:pPr>
              <w:textAlignment w:val="baseline"/>
              <w:rPr>
                <w:b/>
                <w:bCs/>
                <w:noProof/>
                <w:szCs w:val="24"/>
                <w:lang w:val="fr-BE"/>
              </w:rPr>
            </w:pPr>
          </w:p>
        </w:tc>
        <w:tc>
          <w:tcPr>
            <w:tcW w:w="6060" w:type="dxa"/>
            <w:vMerge/>
          </w:tcPr>
          <w:p w:rsidR="00F8725A" w:rsidRDefault="00F8725A">
            <w:pPr>
              <w:textAlignment w:val="baseline"/>
              <w:rPr>
                <w:b/>
                <w:bCs/>
                <w:noProof/>
                <w:szCs w:val="24"/>
                <w:lang w:val="fr-BE"/>
              </w:rPr>
            </w:pPr>
          </w:p>
        </w:tc>
      </w:tr>
      <w:tr w:rsidR="00F8725A">
        <w:trPr>
          <w:trHeight w:val="991"/>
          <w:jc w:val="center"/>
        </w:trPr>
        <w:tc>
          <w:tcPr>
            <w:tcW w:w="1777" w:type="dxa"/>
            <w:vMerge/>
          </w:tcPr>
          <w:p w:rsidR="00F8725A" w:rsidRDefault="00F8725A">
            <w:pPr>
              <w:jc w:val="center"/>
              <w:textAlignment w:val="baseline"/>
              <w:rPr>
                <w:b/>
                <w:bCs/>
                <w:noProof/>
                <w:szCs w:val="24"/>
                <w:lang w:val="fr-BE"/>
              </w:rPr>
            </w:pPr>
          </w:p>
        </w:tc>
        <w:tc>
          <w:tcPr>
            <w:tcW w:w="1544" w:type="dxa"/>
            <w:vMerge/>
          </w:tcPr>
          <w:p w:rsidR="00F8725A" w:rsidRDefault="00F8725A">
            <w:pPr>
              <w:textAlignment w:val="baseline"/>
              <w:rPr>
                <w:b/>
                <w:bCs/>
                <w:noProof/>
                <w:szCs w:val="24"/>
                <w:lang w:val="fr-BE"/>
              </w:rPr>
            </w:pPr>
          </w:p>
        </w:tc>
        <w:tc>
          <w:tcPr>
            <w:tcW w:w="1582" w:type="dxa"/>
            <w:vAlign w:val="center"/>
          </w:tcPr>
          <w:p w:rsidR="00F8725A" w:rsidRDefault="00BE7D43">
            <w:pPr>
              <w:jc w:val="center"/>
              <w:textAlignment w:val="baseline"/>
              <w:rPr>
                <w:bCs/>
                <w:i/>
                <w:noProof/>
                <w:sz w:val="20"/>
              </w:rPr>
            </w:pPr>
            <w:r>
              <w:rPr>
                <w:bCs/>
                <w:i/>
                <w:noProof/>
                <w:sz w:val="20"/>
              </w:rPr>
              <w:t>Affaire T</w:t>
            </w:r>
            <w:r>
              <w:rPr>
                <w:bCs/>
                <w:i/>
                <w:noProof/>
                <w:sz w:val="20"/>
              </w:rPr>
              <w:noBreakHyphen/>
              <w:t xml:space="preserve">532/16 </w:t>
            </w:r>
          </w:p>
          <w:p w:rsidR="00F8725A" w:rsidRDefault="00BE7D43">
            <w:pPr>
              <w:jc w:val="center"/>
              <w:textAlignment w:val="baseline"/>
              <w:rPr>
                <w:bCs/>
                <w:i/>
                <w:noProof/>
                <w:sz w:val="20"/>
              </w:rPr>
            </w:pPr>
            <w:r>
              <w:rPr>
                <w:bCs/>
                <w:i/>
                <w:noProof/>
                <w:sz w:val="20"/>
              </w:rPr>
              <w:t>Perez Asinari e.a. /Commission</w:t>
            </w:r>
          </w:p>
        </w:tc>
        <w:tc>
          <w:tcPr>
            <w:tcW w:w="1935" w:type="dxa"/>
            <w:vAlign w:val="center"/>
          </w:tcPr>
          <w:p w:rsidR="00F8725A" w:rsidRDefault="00BE7D43">
            <w:pPr>
              <w:jc w:val="center"/>
              <w:textAlignment w:val="baseline"/>
              <w:rPr>
                <w:bCs/>
                <w:i/>
                <w:noProof/>
                <w:sz w:val="20"/>
              </w:rPr>
            </w:pPr>
            <w:r>
              <w:rPr>
                <w:bCs/>
                <w:i/>
                <w:noProof/>
                <w:sz w:val="20"/>
              </w:rPr>
              <w:t>Affaire T</w:t>
            </w:r>
            <w:r>
              <w:rPr>
                <w:bCs/>
                <w:i/>
                <w:noProof/>
                <w:sz w:val="20"/>
              </w:rPr>
              <w:noBreakHyphen/>
              <w:t xml:space="preserve">533/16 </w:t>
            </w:r>
          </w:p>
          <w:p w:rsidR="00F8725A" w:rsidRDefault="00BE7D43">
            <w:pPr>
              <w:jc w:val="center"/>
              <w:textAlignment w:val="baseline"/>
              <w:rPr>
                <w:bCs/>
                <w:i/>
                <w:noProof/>
                <w:sz w:val="20"/>
              </w:rPr>
            </w:pPr>
            <w:r>
              <w:rPr>
                <w:bCs/>
                <w:i/>
                <w:noProof/>
                <w:sz w:val="20"/>
              </w:rPr>
              <w:t>Fillon e.a./Commission</w:t>
            </w:r>
          </w:p>
        </w:tc>
        <w:tc>
          <w:tcPr>
            <w:tcW w:w="2037" w:type="dxa"/>
            <w:vMerge/>
            <w:vAlign w:val="center"/>
          </w:tcPr>
          <w:p w:rsidR="00F8725A" w:rsidRDefault="00F8725A">
            <w:pPr>
              <w:textAlignment w:val="baseline"/>
              <w:rPr>
                <w:b/>
                <w:bCs/>
                <w:noProof/>
                <w:szCs w:val="24"/>
                <w:lang w:val="fr-BE"/>
              </w:rPr>
            </w:pPr>
          </w:p>
        </w:tc>
        <w:tc>
          <w:tcPr>
            <w:tcW w:w="6060" w:type="dxa"/>
            <w:vMerge/>
          </w:tcPr>
          <w:p w:rsidR="00F8725A" w:rsidRDefault="00F8725A">
            <w:pPr>
              <w:textAlignment w:val="baseline"/>
              <w:rPr>
                <w:b/>
                <w:bCs/>
                <w:noProof/>
                <w:szCs w:val="24"/>
                <w:lang w:val="fr-BE"/>
              </w:rPr>
            </w:pPr>
          </w:p>
        </w:tc>
      </w:tr>
      <w:tr w:rsidR="00F8725A">
        <w:trPr>
          <w:trHeight w:val="841"/>
          <w:jc w:val="center"/>
        </w:trPr>
        <w:tc>
          <w:tcPr>
            <w:tcW w:w="1777" w:type="dxa"/>
            <w:vMerge/>
          </w:tcPr>
          <w:p w:rsidR="00F8725A" w:rsidRDefault="00F8725A">
            <w:pPr>
              <w:jc w:val="center"/>
              <w:textAlignment w:val="baseline"/>
              <w:rPr>
                <w:b/>
                <w:bCs/>
                <w:noProof/>
                <w:szCs w:val="24"/>
                <w:lang w:val="fr-BE"/>
              </w:rPr>
            </w:pPr>
          </w:p>
        </w:tc>
        <w:tc>
          <w:tcPr>
            <w:tcW w:w="1544" w:type="dxa"/>
            <w:vMerge/>
          </w:tcPr>
          <w:p w:rsidR="00F8725A" w:rsidRDefault="00F8725A">
            <w:pPr>
              <w:textAlignment w:val="baseline"/>
              <w:rPr>
                <w:b/>
                <w:bCs/>
                <w:noProof/>
                <w:szCs w:val="24"/>
                <w:lang w:val="fr-BE"/>
              </w:rPr>
            </w:pPr>
          </w:p>
        </w:tc>
        <w:tc>
          <w:tcPr>
            <w:tcW w:w="1582" w:type="dxa"/>
            <w:vAlign w:val="center"/>
          </w:tcPr>
          <w:p w:rsidR="00F8725A" w:rsidRDefault="00BE7D43">
            <w:pPr>
              <w:jc w:val="center"/>
              <w:textAlignment w:val="baseline"/>
              <w:rPr>
                <w:bCs/>
                <w:i/>
                <w:noProof/>
                <w:sz w:val="20"/>
              </w:rPr>
            </w:pPr>
            <w:r>
              <w:rPr>
                <w:bCs/>
                <w:i/>
                <w:noProof/>
                <w:sz w:val="20"/>
              </w:rPr>
              <w:t>Affaire T</w:t>
            </w:r>
            <w:r>
              <w:rPr>
                <w:bCs/>
                <w:i/>
                <w:noProof/>
                <w:sz w:val="20"/>
              </w:rPr>
              <w:noBreakHyphen/>
              <w:t>536/16 Alvarez y Bejaranao e.a./ Commission</w:t>
            </w:r>
          </w:p>
        </w:tc>
        <w:tc>
          <w:tcPr>
            <w:tcW w:w="1935" w:type="dxa"/>
            <w:vAlign w:val="center"/>
          </w:tcPr>
          <w:p w:rsidR="00F8725A" w:rsidRDefault="00BE7D43">
            <w:pPr>
              <w:jc w:val="center"/>
              <w:textAlignment w:val="baseline"/>
              <w:rPr>
                <w:bCs/>
                <w:i/>
                <w:noProof/>
                <w:sz w:val="20"/>
              </w:rPr>
            </w:pPr>
            <w:r>
              <w:rPr>
                <w:bCs/>
                <w:i/>
                <w:noProof/>
                <w:sz w:val="20"/>
              </w:rPr>
              <w:t>Affaire T</w:t>
            </w:r>
            <w:r>
              <w:rPr>
                <w:bCs/>
                <w:i/>
                <w:noProof/>
                <w:sz w:val="20"/>
              </w:rPr>
              <w:noBreakHyphen/>
              <w:t>537/16</w:t>
            </w:r>
          </w:p>
          <w:p w:rsidR="00F8725A" w:rsidRDefault="00BE7D43">
            <w:pPr>
              <w:jc w:val="center"/>
              <w:textAlignment w:val="baseline"/>
              <w:rPr>
                <w:bCs/>
                <w:i/>
                <w:noProof/>
                <w:sz w:val="20"/>
              </w:rPr>
            </w:pPr>
            <w:r>
              <w:rPr>
                <w:bCs/>
                <w:i/>
                <w:noProof/>
                <w:sz w:val="20"/>
              </w:rPr>
              <w:t>Aycinena e.a. /Commission</w:t>
            </w:r>
          </w:p>
        </w:tc>
        <w:tc>
          <w:tcPr>
            <w:tcW w:w="2037" w:type="dxa"/>
            <w:vMerge/>
            <w:vAlign w:val="center"/>
          </w:tcPr>
          <w:p w:rsidR="00F8725A" w:rsidRDefault="00F8725A">
            <w:pPr>
              <w:textAlignment w:val="baseline"/>
              <w:rPr>
                <w:b/>
                <w:bCs/>
                <w:noProof/>
                <w:szCs w:val="24"/>
                <w:lang w:val="fr-BE"/>
              </w:rPr>
            </w:pPr>
          </w:p>
        </w:tc>
        <w:tc>
          <w:tcPr>
            <w:tcW w:w="6060" w:type="dxa"/>
            <w:vMerge/>
          </w:tcPr>
          <w:p w:rsidR="00F8725A" w:rsidRDefault="00F8725A">
            <w:pPr>
              <w:textAlignment w:val="baseline"/>
              <w:rPr>
                <w:b/>
                <w:bCs/>
                <w:noProof/>
                <w:szCs w:val="24"/>
                <w:lang w:val="fr-BE"/>
              </w:rPr>
            </w:pPr>
          </w:p>
        </w:tc>
      </w:tr>
      <w:tr w:rsidR="00F8725A">
        <w:trPr>
          <w:trHeight w:val="754"/>
          <w:jc w:val="center"/>
        </w:trPr>
        <w:tc>
          <w:tcPr>
            <w:tcW w:w="1777" w:type="dxa"/>
            <w:vMerge/>
          </w:tcPr>
          <w:p w:rsidR="00F8725A" w:rsidRDefault="00F8725A">
            <w:pPr>
              <w:jc w:val="center"/>
              <w:textAlignment w:val="baseline"/>
              <w:rPr>
                <w:b/>
                <w:bCs/>
                <w:noProof/>
                <w:szCs w:val="24"/>
                <w:lang w:val="fr-BE"/>
              </w:rPr>
            </w:pPr>
          </w:p>
        </w:tc>
        <w:tc>
          <w:tcPr>
            <w:tcW w:w="1544" w:type="dxa"/>
            <w:vMerge/>
          </w:tcPr>
          <w:p w:rsidR="00F8725A" w:rsidRDefault="00F8725A">
            <w:pPr>
              <w:textAlignment w:val="baseline"/>
              <w:rPr>
                <w:b/>
                <w:bCs/>
                <w:noProof/>
                <w:szCs w:val="24"/>
                <w:lang w:val="fr-BE"/>
              </w:rPr>
            </w:pPr>
          </w:p>
        </w:tc>
        <w:tc>
          <w:tcPr>
            <w:tcW w:w="1582" w:type="dxa"/>
            <w:vAlign w:val="center"/>
          </w:tcPr>
          <w:p w:rsidR="00F8725A" w:rsidRDefault="00BE7D43">
            <w:pPr>
              <w:jc w:val="center"/>
              <w:rPr>
                <w:bCs/>
                <w:i/>
                <w:noProof/>
                <w:sz w:val="20"/>
              </w:rPr>
            </w:pPr>
            <w:r>
              <w:rPr>
                <w:bCs/>
                <w:i/>
                <w:noProof/>
                <w:sz w:val="20"/>
              </w:rPr>
              <w:t>Affaire T</w:t>
            </w:r>
            <w:r>
              <w:rPr>
                <w:bCs/>
                <w:i/>
                <w:noProof/>
                <w:sz w:val="20"/>
              </w:rPr>
              <w:noBreakHyphen/>
              <w:t>538/16 Schaffrin/Commission</w:t>
            </w:r>
          </w:p>
          <w:p w:rsidR="00F8725A" w:rsidRDefault="00F8725A">
            <w:pPr>
              <w:jc w:val="center"/>
              <w:textAlignment w:val="baseline"/>
              <w:rPr>
                <w:bCs/>
                <w:i/>
                <w:noProof/>
                <w:sz w:val="20"/>
                <w:lang w:val="en-IE"/>
              </w:rPr>
            </w:pPr>
          </w:p>
        </w:tc>
        <w:tc>
          <w:tcPr>
            <w:tcW w:w="1935" w:type="dxa"/>
            <w:vAlign w:val="center"/>
          </w:tcPr>
          <w:p w:rsidR="00F8725A" w:rsidRDefault="00BE7D43">
            <w:pPr>
              <w:jc w:val="center"/>
              <w:textAlignment w:val="baseline"/>
              <w:rPr>
                <w:bCs/>
                <w:i/>
                <w:noProof/>
                <w:sz w:val="20"/>
              </w:rPr>
            </w:pPr>
            <w:r>
              <w:rPr>
                <w:bCs/>
                <w:i/>
                <w:noProof/>
                <w:sz w:val="20"/>
              </w:rPr>
              <w:t>Affaire T</w:t>
            </w:r>
            <w:r>
              <w:rPr>
                <w:bCs/>
                <w:i/>
                <w:noProof/>
                <w:sz w:val="20"/>
              </w:rPr>
              <w:noBreakHyphen/>
              <w:t>541/16</w:t>
            </w:r>
          </w:p>
          <w:p w:rsidR="00F8725A" w:rsidRDefault="00BE7D43">
            <w:pPr>
              <w:jc w:val="center"/>
              <w:textAlignment w:val="baseline"/>
              <w:rPr>
                <w:bCs/>
                <w:i/>
                <w:noProof/>
                <w:sz w:val="20"/>
              </w:rPr>
            </w:pPr>
            <w:r>
              <w:rPr>
                <w:bCs/>
                <w:i/>
                <w:noProof/>
                <w:sz w:val="20"/>
              </w:rPr>
              <w:t>Guillen Lazo/Parlement</w:t>
            </w:r>
          </w:p>
        </w:tc>
        <w:tc>
          <w:tcPr>
            <w:tcW w:w="2037" w:type="dxa"/>
            <w:vMerge/>
            <w:vAlign w:val="center"/>
          </w:tcPr>
          <w:p w:rsidR="00F8725A" w:rsidRDefault="00F8725A">
            <w:pPr>
              <w:textAlignment w:val="baseline"/>
              <w:rPr>
                <w:b/>
                <w:bCs/>
                <w:noProof/>
                <w:szCs w:val="24"/>
                <w:lang w:val="fr-BE"/>
              </w:rPr>
            </w:pPr>
          </w:p>
        </w:tc>
        <w:tc>
          <w:tcPr>
            <w:tcW w:w="6060" w:type="dxa"/>
            <w:vMerge/>
          </w:tcPr>
          <w:p w:rsidR="00F8725A" w:rsidRDefault="00F8725A">
            <w:pPr>
              <w:textAlignment w:val="baseline"/>
              <w:rPr>
                <w:b/>
                <w:bCs/>
                <w:noProof/>
                <w:szCs w:val="24"/>
                <w:lang w:val="fr-BE"/>
              </w:rPr>
            </w:pPr>
          </w:p>
        </w:tc>
      </w:tr>
      <w:tr w:rsidR="00F8725A">
        <w:trPr>
          <w:trHeight w:val="540"/>
          <w:jc w:val="center"/>
        </w:trPr>
        <w:tc>
          <w:tcPr>
            <w:tcW w:w="1777" w:type="dxa"/>
            <w:vMerge/>
          </w:tcPr>
          <w:p w:rsidR="00F8725A" w:rsidRDefault="00F8725A">
            <w:pPr>
              <w:jc w:val="center"/>
              <w:textAlignment w:val="baseline"/>
              <w:rPr>
                <w:b/>
                <w:bCs/>
                <w:noProof/>
                <w:szCs w:val="24"/>
                <w:lang w:val="fr-BE"/>
              </w:rPr>
            </w:pPr>
          </w:p>
        </w:tc>
        <w:tc>
          <w:tcPr>
            <w:tcW w:w="1544" w:type="dxa"/>
            <w:vMerge/>
          </w:tcPr>
          <w:p w:rsidR="00F8725A" w:rsidRDefault="00F8725A">
            <w:pPr>
              <w:textAlignment w:val="baseline"/>
              <w:rPr>
                <w:b/>
                <w:bCs/>
                <w:noProof/>
                <w:szCs w:val="24"/>
                <w:lang w:val="fr-BE"/>
              </w:rPr>
            </w:pPr>
          </w:p>
        </w:tc>
        <w:tc>
          <w:tcPr>
            <w:tcW w:w="1582" w:type="dxa"/>
            <w:vAlign w:val="center"/>
          </w:tcPr>
          <w:p w:rsidR="00F8725A" w:rsidRDefault="00BE7D43">
            <w:pPr>
              <w:jc w:val="center"/>
              <w:rPr>
                <w:bCs/>
                <w:i/>
                <w:noProof/>
                <w:sz w:val="20"/>
              </w:rPr>
            </w:pPr>
            <w:r>
              <w:rPr>
                <w:bCs/>
                <w:i/>
                <w:noProof/>
                <w:sz w:val="20"/>
              </w:rPr>
              <w:t>Affaire T</w:t>
            </w:r>
            <w:r>
              <w:rPr>
                <w:bCs/>
                <w:i/>
                <w:noProof/>
                <w:sz w:val="20"/>
              </w:rPr>
              <w:noBreakHyphen/>
              <w:t>542/16 Ardalic e.a. /Conseil</w:t>
            </w:r>
          </w:p>
        </w:tc>
        <w:tc>
          <w:tcPr>
            <w:tcW w:w="1935" w:type="dxa"/>
            <w:vAlign w:val="center"/>
          </w:tcPr>
          <w:p w:rsidR="00F8725A" w:rsidRDefault="00BE7D43">
            <w:pPr>
              <w:jc w:val="center"/>
              <w:textAlignment w:val="baseline"/>
              <w:rPr>
                <w:bCs/>
                <w:i/>
                <w:noProof/>
                <w:sz w:val="20"/>
              </w:rPr>
            </w:pPr>
            <w:r>
              <w:rPr>
                <w:bCs/>
                <w:i/>
                <w:noProof/>
                <w:sz w:val="20"/>
              </w:rPr>
              <w:t>Affaire T</w:t>
            </w:r>
            <w:r>
              <w:rPr>
                <w:bCs/>
                <w:i/>
                <w:noProof/>
                <w:sz w:val="20"/>
              </w:rPr>
              <w:noBreakHyphen/>
              <w:t>545/16</w:t>
            </w:r>
          </w:p>
          <w:p w:rsidR="00F8725A" w:rsidRDefault="00BE7D43">
            <w:pPr>
              <w:jc w:val="center"/>
              <w:textAlignment w:val="baseline"/>
              <w:rPr>
                <w:bCs/>
                <w:i/>
                <w:noProof/>
                <w:sz w:val="20"/>
              </w:rPr>
            </w:pPr>
            <w:r>
              <w:rPr>
                <w:bCs/>
                <w:i/>
                <w:noProof/>
                <w:sz w:val="20"/>
              </w:rPr>
              <w:t>Torrens et Maraite/Cour de justice</w:t>
            </w:r>
          </w:p>
        </w:tc>
        <w:tc>
          <w:tcPr>
            <w:tcW w:w="2037" w:type="dxa"/>
            <w:vMerge/>
            <w:vAlign w:val="center"/>
          </w:tcPr>
          <w:p w:rsidR="00F8725A" w:rsidRDefault="00F8725A">
            <w:pPr>
              <w:textAlignment w:val="baseline"/>
              <w:rPr>
                <w:b/>
                <w:bCs/>
                <w:noProof/>
                <w:szCs w:val="24"/>
                <w:lang w:val="fr-BE"/>
              </w:rPr>
            </w:pPr>
          </w:p>
        </w:tc>
        <w:tc>
          <w:tcPr>
            <w:tcW w:w="6060" w:type="dxa"/>
            <w:vMerge/>
          </w:tcPr>
          <w:p w:rsidR="00F8725A" w:rsidRDefault="00F8725A">
            <w:pPr>
              <w:textAlignment w:val="baseline"/>
              <w:rPr>
                <w:b/>
                <w:bCs/>
                <w:noProof/>
                <w:szCs w:val="24"/>
                <w:lang w:val="fr-BE"/>
              </w:rPr>
            </w:pPr>
          </w:p>
        </w:tc>
      </w:tr>
      <w:tr w:rsidR="00F8725A">
        <w:trPr>
          <w:trHeight w:val="396"/>
          <w:jc w:val="center"/>
        </w:trPr>
        <w:tc>
          <w:tcPr>
            <w:tcW w:w="1777" w:type="dxa"/>
            <w:vMerge/>
          </w:tcPr>
          <w:p w:rsidR="00F8725A" w:rsidRDefault="00F8725A">
            <w:pPr>
              <w:jc w:val="center"/>
              <w:textAlignment w:val="baseline"/>
              <w:rPr>
                <w:b/>
                <w:bCs/>
                <w:noProof/>
                <w:szCs w:val="24"/>
                <w:lang w:val="fr-BE"/>
              </w:rPr>
            </w:pPr>
          </w:p>
        </w:tc>
        <w:tc>
          <w:tcPr>
            <w:tcW w:w="1544" w:type="dxa"/>
            <w:vMerge/>
          </w:tcPr>
          <w:p w:rsidR="00F8725A" w:rsidRDefault="00F8725A">
            <w:pPr>
              <w:textAlignment w:val="baseline"/>
              <w:rPr>
                <w:b/>
                <w:bCs/>
                <w:noProof/>
                <w:szCs w:val="24"/>
                <w:lang w:val="fr-BE"/>
              </w:rPr>
            </w:pPr>
          </w:p>
        </w:tc>
        <w:tc>
          <w:tcPr>
            <w:tcW w:w="3517" w:type="dxa"/>
            <w:gridSpan w:val="2"/>
            <w:tcBorders>
              <w:bottom w:val="single" w:sz="12" w:space="0" w:color="auto"/>
            </w:tcBorders>
            <w:vAlign w:val="center"/>
          </w:tcPr>
          <w:p w:rsidR="00F8725A" w:rsidRDefault="00BE7D43">
            <w:pPr>
              <w:jc w:val="center"/>
              <w:textAlignment w:val="baseline"/>
              <w:rPr>
                <w:bCs/>
                <w:i/>
                <w:noProof/>
                <w:sz w:val="20"/>
              </w:rPr>
            </w:pPr>
            <w:r>
              <w:rPr>
                <w:bCs/>
                <w:i/>
                <w:noProof/>
                <w:sz w:val="20"/>
              </w:rPr>
              <w:t>Affaire T</w:t>
            </w:r>
            <w:r>
              <w:rPr>
                <w:bCs/>
                <w:i/>
                <w:noProof/>
                <w:sz w:val="20"/>
              </w:rPr>
              <w:noBreakHyphen/>
              <w:t>547/16</w:t>
            </w:r>
          </w:p>
          <w:p w:rsidR="00F8725A" w:rsidRDefault="00BE7D43">
            <w:pPr>
              <w:jc w:val="center"/>
              <w:textAlignment w:val="baseline"/>
              <w:rPr>
                <w:bCs/>
                <w:i/>
                <w:noProof/>
                <w:sz w:val="20"/>
              </w:rPr>
            </w:pPr>
            <w:r>
              <w:rPr>
                <w:bCs/>
                <w:i/>
                <w:noProof/>
                <w:sz w:val="20"/>
              </w:rPr>
              <w:t xml:space="preserve"> Miranda Garcia/Cour</w:t>
            </w:r>
          </w:p>
        </w:tc>
        <w:tc>
          <w:tcPr>
            <w:tcW w:w="2037" w:type="dxa"/>
            <w:vMerge/>
            <w:vAlign w:val="center"/>
          </w:tcPr>
          <w:p w:rsidR="00F8725A" w:rsidRDefault="00F8725A">
            <w:pPr>
              <w:textAlignment w:val="baseline"/>
              <w:rPr>
                <w:b/>
                <w:bCs/>
                <w:noProof/>
                <w:szCs w:val="24"/>
                <w:lang w:val="fr-BE"/>
              </w:rPr>
            </w:pPr>
          </w:p>
        </w:tc>
        <w:tc>
          <w:tcPr>
            <w:tcW w:w="6060" w:type="dxa"/>
            <w:vMerge/>
          </w:tcPr>
          <w:p w:rsidR="00F8725A" w:rsidRDefault="00F8725A">
            <w:pPr>
              <w:textAlignment w:val="baseline"/>
              <w:rPr>
                <w:b/>
                <w:bCs/>
                <w:noProof/>
                <w:szCs w:val="24"/>
                <w:lang w:val="fr-BE"/>
              </w:rPr>
            </w:pPr>
          </w:p>
        </w:tc>
      </w:tr>
      <w:tr w:rsidR="00F8725A">
        <w:trPr>
          <w:trHeight w:val="1756"/>
          <w:jc w:val="center"/>
        </w:trPr>
        <w:tc>
          <w:tcPr>
            <w:tcW w:w="1777" w:type="dxa"/>
            <w:vMerge w:val="restart"/>
            <w:tcBorders>
              <w:top w:val="single" w:sz="12" w:space="0" w:color="auto"/>
              <w:bottom w:val="single" w:sz="4" w:space="0" w:color="auto"/>
            </w:tcBorders>
            <w:vAlign w:val="center"/>
          </w:tcPr>
          <w:p w:rsidR="00F8725A" w:rsidRDefault="00BE7D43">
            <w:pPr>
              <w:jc w:val="center"/>
              <w:textAlignment w:val="baseline"/>
              <w:rPr>
                <w:b/>
                <w:bCs/>
                <w:noProof/>
                <w:szCs w:val="24"/>
              </w:rPr>
            </w:pPr>
            <w:r>
              <w:rPr>
                <w:b/>
                <w:bCs/>
                <w:noProof/>
                <w:szCs w:val="24"/>
              </w:rPr>
              <w:t>Congé annuel applicable aux fonctionnaires affectés dans un pays tiers</w:t>
            </w:r>
          </w:p>
        </w:tc>
        <w:tc>
          <w:tcPr>
            <w:tcW w:w="1544" w:type="dxa"/>
            <w:tcBorders>
              <w:top w:val="single" w:sz="12" w:space="0" w:color="auto"/>
              <w:bottom w:val="single" w:sz="4" w:space="0" w:color="auto"/>
            </w:tcBorders>
            <w:vAlign w:val="center"/>
          </w:tcPr>
          <w:p w:rsidR="00F8725A" w:rsidRDefault="00BE7D43">
            <w:pPr>
              <w:jc w:val="center"/>
              <w:textAlignment w:val="baseline"/>
              <w:rPr>
                <w:bCs/>
                <w:noProof/>
                <w:szCs w:val="24"/>
              </w:rPr>
            </w:pPr>
            <w:r>
              <w:rPr>
                <w:noProof/>
              </w:rPr>
              <w:t>4/12/2018</w:t>
            </w:r>
          </w:p>
        </w:tc>
        <w:tc>
          <w:tcPr>
            <w:tcW w:w="3517" w:type="dxa"/>
            <w:gridSpan w:val="2"/>
            <w:tcBorders>
              <w:top w:val="single" w:sz="12" w:space="0" w:color="auto"/>
              <w:bottom w:val="single" w:sz="4" w:space="0" w:color="auto"/>
            </w:tcBorders>
            <w:vAlign w:val="center"/>
          </w:tcPr>
          <w:p w:rsidR="00F8725A" w:rsidRDefault="00BE7D43">
            <w:pPr>
              <w:jc w:val="center"/>
              <w:textAlignment w:val="baseline"/>
              <w:rPr>
                <w:bCs/>
                <w:i/>
                <w:noProof/>
                <w:szCs w:val="24"/>
              </w:rPr>
            </w:pPr>
            <w:r>
              <w:rPr>
                <w:bCs/>
                <w:i/>
                <w:noProof/>
                <w:szCs w:val="24"/>
              </w:rPr>
              <w:t>Affaire T</w:t>
            </w:r>
            <w:r>
              <w:rPr>
                <w:bCs/>
                <w:i/>
                <w:noProof/>
                <w:szCs w:val="24"/>
              </w:rPr>
              <w:noBreakHyphen/>
              <w:t>518/16</w:t>
            </w:r>
          </w:p>
          <w:p w:rsidR="00F8725A" w:rsidRDefault="00BE7D43">
            <w:pPr>
              <w:jc w:val="center"/>
              <w:textAlignment w:val="baseline"/>
              <w:rPr>
                <w:bCs/>
                <w:i/>
                <w:noProof/>
                <w:szCs w:val="24"/>
              </w:rPr>
            </w:pPr>
            <w:r>
              <w:rPr>
                <w:bCs/>
                <w:i/>
                <w:noProof/>
                <w:szCs w:val="24"/>
              </w:rPr>
              <w:t>Carreras Sequeros e.a./Commission</w:t>
            </w:r>
          </w:p>
        </w:tc>
        <w:tc>
          <w:tcPr>
            <w:tcW w:w="2037" w:type="dxa"/>
            <w:vMerge w:val="restart"/>
            <w:tcBorders>
              <w:top w:val="single" w:sz="12" w:space="0" w:color="auto"/>
            </w:tcBorders>
            <w:vAlign w:val="center"/>
          </w:tcPr>
          <w:p w:rsidR="00F8725A" w:rsidRDefault="00BE7D43">
            <w:pPr>
              <w:jc w:val="center"/>
              <w:textAlignment w:val="baseline"/>
              <w:rPr>
                <w:b/>
                <w:bCs/>
                <w:noProof/>
                <w:szCs w:val="24"/>
              </w:rPr>
            </w:pPr>
            <w:r>
              <w:rPr>
                <w:b/>
                <w:bCs/>
                <w:noProof/>
                <w:szCs w:val="24"/>
              </w:rPr>
              <w:t>Refusé</w:t>
            </w:r>
          </w:p>
        </w:tc>
        <w:tc>
          <w:tcPr>
            <w:tcW w:w="6060" w:type="dxa"/>
            <w:vMerge w:val="restart"/>
            <w:tcBorders>
              <w:top w:val="single" w:sz="12" w:space="0" w:color="auto"/>
            </w:tcBorders>
            <w:vAlign w:val="center"/>
          </w:tcPr>
          <w:p w:rsidR="00F8725A" w:rsidRDefault="00BE7D43">
            <w:pPr>
              <w:textAlignment w:val="baseline"/>
              <w:rPr>
                <w:bCs/>
                <w:noProof/>
                <w:szCs w:val="24"/>
              </w:rPr>
            </w:pPr>
            <w:r>
              <w:rPr>
                <w:noProof/>
              </w:rPr>
              <w:t>Les requérants, affectés dans des pays tiers avant le 1</w:t>
            </w:r>
            <w:r>
              <w:rPr>
                <w:noProof/>
                <w:vertAlign w:val="superscript"/>
              </w:rPr>
              <w:t>er</w:t>
            </w:r>
            <w:r>
              <w:rPr>
                <w:noProof/>
              </w:rPr>
              <w:t> janvier 2014, se sont vu accorder 36 jours de congé annuel pour l’année 2014 au lieu des 42 jours de congé octroyés l’année précédente, conformément au premier tiret du nouvel article 6, alinéa 2, de l’annexe X du statut.</w:t>
            </w:r>
          </w:p>
          <w:p w:rsidR="00F8725A" w:rsidRDefault="00BE7D43">
            <w:pPr>
              <w:textAlignment w:val="baseline"/>
              <w:rPr>
                <w:b/>
                <w:bCs/>
                <w:noProof/>
                <w:szCs w:val="24"/>
              </w:rPr>
            </w:pPr>
            <w:r>
              <w:rPr>
                <w:noProof/>
              </w:rPr>
              <w:t>Ils ont soulevé une exception d’illégalité à l’encontre de l’article 6 de l’annexe X du statut et ont demandé l’annulation des décisions ayant opéré une réduction de leur congé annuel à compter de 2014. Le Tribunal a annulé les décisions réduisant le congé annuel accordé aux requérants pour l’année 2014. Néanmoins, dans le cadre d’un pourvoi, la Cour a annulé l’arrêt du Tribunal, confirmant ainsi la marge de manœuvre du colégislateur lors de la modification de droits non acquis.</w:t>
            </w:r>
            <w:r>
              <w:rPr>
                <w:b/>
                <w:bCs/>
                <w:noProof/>
                <w:szCs w:val="24"/>
              </w:rPr>
              <w:t xml:space="preserve"> </w:t>
            </w:r>
          </w:p>
        </w:tc>
      </w:tr>
      <w:tr w:rsidR="00F8725A">
        <w:trPr>
          <w:trHeight w:val="2235"/>
          <w:jc w:val="center"/>
        </w:trPr>
        <w:tc>
          <w:tcPr>
            <w:tcW w:w="1777" w:type="dxa"/>
            <w:vMerge/>
            <w:vAlign w:val="center"/>
          </w:tcPr>
          <w:p w:rsidR="00F8725A" w:rsidRDefault="00F8725A">
            <w:pPr>
              <w:jc w:val="center"/>
              <w:textAlignment w:val="baseline"/>
              <w:rPr>
                <w:b/>
                <w:bCs/>
                <w:noProof/>
                <w:szCs w:val="24"/>
                <w:lang w:val="fr-BE"/>
              </w:rPr>
            </w:pPr>
          </w:p>
        </w:tc>
        <w:tc>
          <w:tcPr>
            <w:tcW w:w="1544" w:type="dxa"/>
            <w:tcBorders>
              <w:top w:val="single" w:sz="4" w:space="0" w:color="auto"/>
              <w:bottom w:val="single" w:sz="12" w:space="0" w:color="auto"/>
            </w:tcBorders>
            <w:vAlign w:val="center"/>
          </w:tcPr>
          <w:p w:rsidR="00F8725A" w:rsidRDefault="00BE7D43">
            <w:pPr>
              <w:jc w:val="center"/>
              <w:textAlignment w:val="baseline"/>
              <w:rPr>
                <w:b/>
                <w:bCs/>
                <w:noProof/>
                <w:szCs w:val="24"/>
              </w:rPr>
            </w:pPr>
            <w:r>
              <w:rPr>
                <w:noProof/>
              </w:rPr>
              <w:t>8/9/2020</w:t>
            </w:r>
          </w:p>
        </w:tc>
        <w:tc>
          <w:tcPr>
            <w:tcW w:w="3517" w:type="dxa"/>
            <w:gridSpan w:val="2"/>
            <w:tcBorders>
              <w:top w:val="single" w:sz="4" w:space="0" w:color="auto"/>
              <w:bottom w:val="single" w:sz="12" w:space="0" w:color="auto"/>
            </w:tcBorders>
            <w:vAlign w:val="center"/>
          </w:tcPr>
          <w:p w:rsidR="00F8725A" w:rsidRDefault="00BE7D43">
            <w:pPr>
              <w:jc w:val="center"/>
              <w:textAlignment w:val="baseline"/>
              <w:rPr>
                <w:bCs/>
                <w:i/>
                <w:noProof/>
                <w:szCs w:val="24"/>
              </w:rPr>
            </w:pPr>
            <w:r>
              <w:rPr>
                <w:bCs/>
                <w:i/>
                <w:noProof/>
                <w:szCs w:val="24"/>
              </w:rPr>
              <w:t>Affaire C</w:t>
            </w:r>
            <w:r>
              <w:rPr>
                <w:bCs/>
                <w:i/>
                <w:noProof/>
                <w:szCs w:val="24"/>
              </w:rPr>
              <w:noBreakHyphen/>
              <w:t>319/19 P</w:t>
            </w:r>
          </w:p>
          <w:p w:rsidR="00F8725A" w:rsidRDefault="00BE7D43">
            <w:pPr>
              <w:jc w:val="center"/>
              <w:textAlignment w:val="baseline"/>
              <w:rPr>
                <w:bCs/>
                <w:i/>
                <w:noProof/>
                <w:szCs w:val="24"/>
              </w:rPr>
            </w:pPr>
            <w:r>
              <w:rPr>
                <w:bCs/>
                <w:i/>
                <w:noProof/>
                <w:szCs w:val="24"/>
              </w:rPr>
              <w:t>Commission européenne/Francisco Carreras Sequeros e.a.</w:t>
            </w:r>
          </w:p>
        </w:tc>
        <w:tc>
          <w:tcPr>
            <w:tcW w:w="2037" w:type="dxa"/>
            <w:vMerge/>
            <w:vAlign w:val="center"/>
          </w:tcPr>
          <w:p w:rsidR="00F8725A" w:rsidRDefault="00F8725A">
            <w:pPr>
              <w:textAlignment w:val="baseline"/>
              <w:rPr>
                <w:b/>
                <w:bCs/>
                <w:noProof/>
                <w:szCs w:val="24"/>
                <w:lang w:val="fr-BE"/>
              </w:rPr>
            </w:pPr>
          </w:p>
        </w:tc>
        <w:tc>
          <w:tcPr>
            <w:tcW w:w="6060" w:type="dxa"/>
            <w:vMerge/>
            <w:vAlign w:val="center"/>
          </w:tcPr>
          <w:p w:rsidR="00F8725A" w:rsidRDefault="00F8725A">
            <w:pPr>
              <w:textAlignment w:val="baseline"/>
              <w:rPr>
                <w:bCs/>
                <w:noProof/>
                <w:szCs w:val="24"/>
                <w:lang w:val="fr-BE"/>
              </w:rPr>
            </w:pPr>
          </w:p>
        </w:tc>
      </w:tr>
      <w:tr w:rsidR="00F8725A">
        <w:trPr>
          <w:trHeight w:val="1504"/>
          <w:jc w:val="center"/>
        </w:trPr>
        <w:tc>
          <w:tcPr>
            <w:tcW w:w="1777" w:type="dxa"/>
            <w:tcBorders>
              <w:top w:val="single" w:sz="12" w:space="0" w:color="auto"/>
              <w:bottom w:val="single" w:sz="12" w:space="0" w:color="auto"/>
            </w:tcBorders>
            <w:vAlign w:val="center"/>
          </w:tcPr>
          <w:p w:rsidR="00F8725A" w:rsidRDefault="00BE7D43">
            <w:pPr>
              <w:jc w:val="center"/>
              <w:textAlignment w:val="baseline"/>
              <w:rPr>
                <w:b/>
                <w:bCs/>
                <w:noProof/>
                <w:szCs w:val="24"/>
              </w:rPr>
            </w:pPr>
            <w:r>
              <w:rPr>
                <w:b/>
                <w:bCs/>
                <w:noProof/>
                <w:szCs w:val="24"/>
              </w:rPr>
              <w:t>Coefficient correcteur pour le Luxembourg</w:t>
            </w:r>
          </w:p>
        </w:tc>
        <w:tc>
          <w:tcPr>
            <w:tcW w:w="1544" w:type="dxa"/>
            <w:tcBorders>
              <w:top w:val="single" w:sz="12" w:space="0" w:color="auto"/>
              <w:bottom w:val="single" w:sz="12" w:space="0" w:color="auto"/>
            </w:tcBorders>
            <w:vAlign w:val="center"/>
          </w:tcPr>
          <w:p w:rsidR="00F8725A" w:rsidRDefault="00BE7D43">
            <w:pPr>
              <w:jc w:val="center"/>
              <w:textAlignment w:val="baseline"/>
              <w:rPr>
                <w:bCs/>
                <w:noProof/>
                <w:szCs w:val="24"/>
              </w:rPr>
            </w:pPr>
            <w:r>
              <w:rPr>
                <w:noProof/>
              </w:rPr>
              <w:t>4/10/2018</w:t>
            </w:r>
          </w:p>
        </w:tc>
        <w:tc>
          <w:tcPr>
            <w:tcW w:w="3517" w:type="dxa"/>
            <w:gridSpan w:val="2"/>
            <w:tcBorders>
              <w:top w:val="single" w:sz="12" w:space="0" w:color="auto"/>
              <w:bottom w:val="single" w:sz="12" w:space="0" w:color="auto"/>
            </w:tcBorders>
            <w:vAlign w:val="center"/>
          </w:tcPr>
          <w:p w:rsidR="00F8725A" w:rsidRDefault="00BE7D43">
            <w:pPr>
              <w:jc w:val="center"/>
              <w:textAlignment w:val="baseline"/>
              <w:rPr>
                <w:bCs/>
                <w:i/>
                <w:noProof/>
                <w:szCs w:val="24"/>
              </w:rPr>
            </w:pPr>
            <w:r>
              <w:rPr>
                <w:bCs/>
                <w:i/>
                <w:noProof/>
                <w:szCs w:val="24"/>
              </w:rPr>
              <w:t>Affaire T</w:t>
            </w:r>
            <w:r>
              <w:rPr>
                <w:bCs/>
                <w:i/>
                <w:noProof/>
                <w:szCs w:val="24"/>
              </w:rPr>
              <w:noBreakHyphen/>
              <w:t xml:space="preserve">546/16 </w:t>
            </w:r>
          </w:p>
          <w:p w:rsidR="00F8725A" w:rsidRDefault="00BE7D43">
            <w:pPr>
              <w:jc w:val="center"/>
              <w:textAlignment w:val="baseline"/>
              <w:rPr>
                <w:b/>
                <w:bCs/>
                <w:noProof/>
                <w:szCs w:val="24"/>
              </w:rPr>
            </w:pPr>
            <w:r>
              <w:rPr>
                <w:bCs/>
                <w:i/>
                <w:noProof/>
                <w:szCs w:val="24"/>
              </w:rPr>
              <w:t>Tataram/Commission</w:t>
            </w:r>
          </w:p>
        </w:tc>
        <w:tc>
          <w:tcPr>
            <w:tcW w:w="2037" w:type="dxa"/>
            <w:tcBorders>
              <w:top w:val="single" w:sz="12" w:space="0" w:color="auto"/>
              <w:bottom w:val="single" w:sz="12" w:space="0" w:color="auto"/>
            </w:tcBorders>
            <w:vAlign w:val="center"/>
          </w:tcPr>
          <w:p w:rsidR="00F8725A" w:rsidRDefault="00BE7D43">
            <w:pPr>
              <w:textAlignment w:val="baseline"/>
              <w:rPr>
                <w:b/>
                <w:bCs/>
                <w:noProof/>
                <w:szCs w:val="24"/>
              </w:rPr>
            </w:pPr>
            <w:r>
              <w:rPr>
                <w:b/>
                <w:bCs/>
                <w:noProof/>
                <w:szCs w:val="24"/>
              </w:rPr>
              <w:t>Irrecevable</w:t>
            </w:r>
          </w:p>
        </w:tc>
        <w:tc>
          <w:tcPr>
            <w:tcW w:w="6060" w:type="dxa"/>
            <w:tcBorders>
              <w:top w:val="single" w:sz="12" w:space="0" w:color="auto"/>
              <w:bottom w:val="single" w:sz="12" w:space="0" w:color="auto"/>
            </w:tcBorders>
            <w:vAlign w:val="center"/>
          </w:tcPr>
          <w:p w:rsidR="00F8725A" w:rsidRDefault="00BE7D43">
            <w:pPr>
              <w:textAlignment w:val="baseline"/>
              <w:rPr>
                <w:bCs/>
                <w:noProof/>
                <w:szCs w:val="24"/>
              </w:rPr>
            </w:pPr>
            <w:r>
              <w:rPr>
                <w:noProof/>
              </w:rPr>
              <w:t xml:space="preserve">Lors de la réforme du statut de 2014, le colégislateur a conservé les dispositions existant de longue date selon lesquelles aucun coefficient correcteur n’est applicable à la rémunération du personnel à Bruxelles et à Luxembourg, étant donné le rôle spécial de référence joué par ces lieux d’affectation en tant que sièges principaux et d’origine de la plupart des institutions. </w:t>
            </w:r>
          </w:p>
          <w:p w:rsidR="00F8725A" w:rsidRDefault="00BE7D43">
            <w:pPr>
              <w:textAlignment w:val="baseline"/>
              <w:rPr>
                <w:b/>
                <w:bCs/>
                <w:noProof/>
                <w:szCs w:val="24"/>
              </w:rPr>
            </w:pPr>
            <w:r>
              <w:rPr>
                <w:noProof/>
              </w:rPr>
              <w:t>Le Tribunal a été saisi d’un recours soulevant une exception d’illégalité à l’encontre des articles 64, 65 et 65 </w:t>
            </w:r>
            <w:r>
              <w:rPr>
                <w:i/>
                <w:noProof/>
              </w:rPr>
              <w:t>bis</w:t>
            </w:r>
            <w:r>
              <w:rPr>
                <w:noProof/>
              </w:rPr>
              <w:t xml:space="preserve"> du statut et son annexe XI, à savoir les dispositions relatives aux coefficients correcteurs et à leur adaptation. Néanmoins, le recours a été rejeté comme irrecevable et la solution législative a été confirmée tant que le statut tel que modifié en 2013 reste en vigueur.</w:t>
            </w:r>
          </w:p>
        </w:tc>
      </w:tr>
      <w:tr w:rsidR="00F8725A">
        <w:trPr>
          <w:trHeight w:val="3565"/>
          <w:jc w:val="center"/>
        </w:trPr>
        <w:tc>
          <w:tcPr>
            <w:tcW w:w="1777" w:type="dxa"/>
            <w:tcBorders>
              <w:top w:val="single" w:sz="12" w:space="0" w:color="auto"/>
              <w:bottom w:val="single" w:sz="12" w:space="0" w:color="auto"/>
            </w:tcBorders>
            <w:vAlign w:val="center"/>
          </w:tcPr>
          <w:p w:rsidR="00F8725A" w:rsidRDefault="00BE7D43">
            <w:pPr>
              <w:rPr>
                <w:b/>
                <w:noProof/>
                <w:szCs w:val="24"/>
              </w:rPr>
            </w:pPr>
            <w:r>
              <w:rPr>
                <w:b/>
                <w:noProof/>
                <w:szCs w:val="24"/>
              </w:rPr>
              <w:t xml:space="preserve">Les limitations aux adaptations des salaires pour les années 2011 et 2012 </w:t>
            </w:r>
          </w:p>
        </w:tc>
        <w:tc>
          <w:tcPr>
            <w:tcW w:w="1544" w:type="dxa"/>
            <w:tcBorders>
              <w:top w:val="single" w:sz="12" w:space="0" w:color="auto"/>
              <w:bottom w:val="single" w:sz="12" w:space="0" w:color="auto"/>
            </w:tcBorders>
            <w:vAlign w:val="center"/>
          </w:tcPr>
          <w:p w:rsidR="00F8725A" w:rsidRDefault="00BE7D43">
            <w:pPr>
              <w:jc w:val="center"/>
              <w:rPr>
                <w:noProof/>
                <w:szCs w:val="24"/>
              </w:rPr>
            </w:pPr>
            <w:r>
              <w:rPr>
                <w:noProof/>
              </w:rPr>
              <w:t>13/12/2018</w:t>
            </w:r>
          </w:p>
        </w:tc>
        <w:tc>
          <w:tcPr>
            <w:tcW w:w="3517" w:type="dxa"/>
            <w:gridSpan w:val="2"/>
            <w:tcBorders>
              <w:top w:val="single" w:sz="12" w:space="0" w:color="auto"/>
              <w:bottom w:val="single" w:sz="12" w:space="0" w:color="auto"/>
            </w:tcBorders>
            <w:vAlign w:val="center"/>
          </w:tcPr>
          <w:p w:rsidR="00F8725A" w:rsidRDefault="00BE7D43">
            <w:pPr>
              <w:jc w:val="center"/>
              <w:rPr>
                <w:i/>
                <w:noProof/>
                <w:szCs w:val="24"/>
              </w:rPr>
            </w:pPr>
            <w:r>
              <w:rPr>
                <w:i/>
                <w:noProof/>
                <w:szCs w:val="24"/>
              </w:rPr>
              <w:t>Affaire T</w:t>
            </w:r>
            <w:r>
              <w:rPr>
                <w:i/>
                <w:noProof/>
                <w:szCs w:val="24"/>
              </w:rPr>
              <w:noBreakHyphen/>
              <w:t>530/16</w:t>
            </w:r>
          </w:p>
          <w:p w:rsidR="00F8725A" w:rsidRDefault="00BE7D43">
            <w:pPr>
              <w:jc w:val="center"/>
              <w:rPr>
                <w:i/>
                <w:noProof/>
                <w:szCs w:val="24"/>
              </w:rPr>
            </w:pPr>
            <w:r>
              <w:rPr>
                <w:i/>
                <w:noProof/>
                <w:szCs w:val="24"/>
              </w:rPr>
              <w:t>Schubert e.a./Commission</w:t>
            </w:r>
          </w:p>
        </w:tc>
        <w:tc>
          <w:tcPr>
            <w:tcW w:w="2037" w:type="dxa"/>
            <w:tcBorders>
              <w:top w:val="single" w:sz="12" w:space="0" w:color="auto"/>
              <w:bottom w:val="single" w:sz="12" w:space="0" w:color="auto"/>
            </w:tcBorders>
            <w:vAlign w:val="center"/>
          </w:tcPr>
          <w:p w:rsidR="00F8725A" w:rsidRDefault="00BE7D43">
            <w:pPr>
              <w:jc w:val="center"/>
              <w:rPr>
                <w:b/>
                <w:noProof/>
                <w:szCs w:val="24"/>
              </w:rPr>
            </w:pPr>
            <w:r>
              <w:rPr>
                <w:b/>
                <w:noProof/>
                <w:szCs w:val="24"/>
              </w:rPr>
              <w:t>Refusé</w:t>
            </w:r>
          </w:p>
        </w:tc>
        <w:tc>
          <w:tcPr>
            <w:tcW w:w="6060" w:type="dxa"/>
            <w:tcBorders>
              <w:top w:val="single" w:sz="12" w:space="0" w:color="auto"/>
              <w:bottom w:val="single" w:sz="12" w:space="0" w:color="auto"/>
            </w:tcBorders>
            <w:vAlign w:val="center"/>
          </w:tcPr>
          <w:p w:rsidR="00F8725A" w:rsidRDefault="00BE7D43">
            <w:pPr>
              <w:rPr>
                <w:noProof/>
                <w:szCs w:val="24"/>
              </w:rPr>
            </w:pPr>
            <w:r>
              <w:rPr>
                <w:noProof/>
              </w:rPr>
              <w:t>Par arrêt du 19 novembre 2013 dans l’affaire C-63/12, Commission/Conseil, la Cour de justice a jugé que l’appréciation de l’existence d’une détérioration grave et soudaine de la situation économique et sociale qui entraînerait une limitation des adaptations de salaires incombait au Conseil et non à la Commission. En application de cet arrêt, le Conseil et le Parlement européen ont fixé l’adaptation des rémunérations pour les années 2011 et 2012 sur la base de la clause d’exception prévue à l’article 10 de l’annexe XI de l’ancien statut. Ce statut prévoyait un taux d’adaptation de 0 % pour 2011 et de 0,8 % pour 2012 respectivement.</w:t>
            </w:r>
          </w:p>
          <w:p w:rsidR="00F8725A" w:rsidRDefault="00BE7D43">
            <w:pPr>
              <w:rPr>
                <w:noProof/>
                <w:szCs w:val="24"/>
              </w:rPr>
            </w:pPr>
            <w:r>
              <w:rPr>
                <w:noProof/>
              </w:rPr>
              <w:t>Des membres du personnel ont contesté ces adaptations limitées qui ont été intégrées dans la réforme du statut de 2014. Le Tribunal a rejeté les arguments du requérant et a confirmé que le législateur de l’Union pouvait déroger aux règles applicables en matière d’actualisation des salaires pour tenir compte du contexte économique général.</w:t>
            </w:r>
          </w:p>
        </w:tc>
      </w:tr>
      <w:tr w:rsidR="00F8725A">
        <w:trPr>
          <w:trHeight w:val="679"/>
          <w:jc w:val="center"/>
        </w:trPr>
        <w:tc>
          <w:tcPr>
            <w:tcW w:w="1777" w:type="dxa"/>
            <w:tcBorders>
              <w:top w:val="single" w:sz="12" w:space="0" w:color="auto"/>
              <w:left w:val="single" w:sz="6" w:space="0" w:color="auto"/>
              <w:bottom w:val="single" w:sz="12" w:space="0" w:color="auto"/>
              <w:right w:val="single" w:sz="4" w:space="0" w:color="auto"/>
            </w:tcBorders>
            <w:shd w:val="clear" w:color="auto" w:fill="auto"/>
            <w:vAlign w:val="center"/>
          </w:tcPr>
          <w:p w:rsidR="00F8725A" w:rsidRDefault="00BE7D43">
            <w:pPr>
              <w:jc w:val="center"/>
              <w:textAlignment w:val="baseline"/>
              <w:rPr>
                <w:noProof/>
                <w:szCs w:val="24"/>
              </w:rPr>
            </w:pPr>
            <w:r>
              <w:rPr>
                <w:b/>
                <w:bCs/>
                <w:noProof/>
                <w:szCs w:val="24"/>
              </w:rPr>
              <w:t>Réintroduction du prélèvement fiscal</w:t>
            </w:r>
          </w:p>
        </w:tc>
        <w:tc>
          <w:tcPr>
            <w:tcW w:w="1544" w:type="dxa"/>
            <w:tcBorders>
              <w:top w:val="single" w:sz="12" w:space="0" w:color="auto"/>
              <w:left w:val="single" w:sz="4" w:space="0" w:color="auto"/>
              <w:bottom w:val="single" w:sz="12" w:space="0" w:color="auto"/>
              <w:right w:val="single" w:sz="4" w:space="0" w:color="auto"/>
            </w:tcBorders>
            <w:shd w:val="clear" w:color="auto" w:fill="auto"/>
            <w:vAlign w:val="center"/>
          </w:tcPr>
          <w:p w:rsidR="00F8725A" w:rsidRDefault="00BE7D43">
            <w:pPr>
              <w:jc w:val="center"/>
              <w:textAlignment w:val="baseline"/>
              <w:rPr>
                <w:noProof/>
                <w:szCs w:val="24"/>
              </w:rPr>
            </w:pPr>
            <w:r>
              <w:rPr>
                <w:noProof/>
              </w:rPr>
              <w:t>12/12/2019</w:t>
            </w:r>
          </w:p>
        </w:tc>
        <w:tc>
          <w:tcPr>
            <w:tcW w:w="351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8725A" w:rsidRDefault="00BE7D43">
            <w:pPr>
              <w:jc w:val="center"/>
              <w:textAlignment w:val="baseline"/>
              <w:rPr>
                <w:i/>
                <w:noProof/>
                <w:szCs w:val="24"/>
              </w:rPr>
            </w:pPr>
            <w:r>
              <w:rPr>
                <w:bCs/>
                <w:i/>
                <w:noProof/>
                <w:szCs w:val="24"/>
              </w:rPr>
              <w:t>Affaire T</w:t>
            </w:r>
            <w:r>
              <w:rPr>
                <w:bCs/>
                <w:i/>
                <w:noProof/>
                <w:szCs w:val="24"/>
              </w:rPr>
              <w:noBreakHyphen/>
              <w:t>531/16</w:t>
            </w:r>
          </w:p>
          <w:p w:rsidR="00F8725A" w:rsidRDefault="00BE7D43">
            <w:pPr>
              <w:jc w:val="center"/>
              <w:textAlignment w:val="baseline"/>
              <w:rPr>
                <w:i/>
                <w:noProof/>
                <w:szCs w:val="24"/>
              </w:rPr>
            </w:pPr>
            <w:r>
              <w:rPr>
                <w:bCs/>
                <w:i/>
                <w:noProof/>
                <w:szCs w:val="24"/>
              </w:rPr>
              <w:t>Margarita Tàpias</w:t>
            </w:r>
          </w:p>
          <w:p w:rsidR="00F8725A" w:rsidRDefault="00BE7D43">
            <w:pPr>
              <w:jc w:val="center"/>
              <w:textAlignment w:val="baseline"/>
              <w:rPr>
                <w:i/>
                <w:noProof/>
                <w:szCs w:val="24"/>
              </w:rPr>
            </w:pPr>
            <w:r>
              <w:rPr>
                <w:bCs/>
                <w:i/>
                <w:noProof/>
                <w:szCs w:val="24"/>
              </w:rPr>
              <w:t>/</w:t>
            </w:r>
          </w:p>
          <w:p w:rsidR="00F8725A" w:rsidRDefault="00BE7D43">
            <w:pPr>
              <w:jc w:val="center"/>
              <w:textAlignment w:val="baseline"/>
              <w:rPr>
                <w:noProof/>
                <w:szCs w:val="24"/>
              </w:rPr>
            </w:pPr>
            <w:r>
              <w:rPr>
                <w:bCs/>
                <w:i/>
                <w:noProof/>
                <w:szCs w:val="24"/>
              </w:rPr>
              <w:t>Conseil de l’Union européenne</w:t>
            </w:r>
          </w:p>
        </w:tc>
        <w:tc>
          <w:tcPr>
            <w:tcW w:w="2037" w:type="dxa"/>
            <w:tcBorders>
              <w:top w:val="single" w:sz="12" w:space="0" w:color="auto"/>
              <w:left w:val="single" w:sz="4" w:space="0" w:color="auto"/>
              <w:bottom w:val="single" w:sz="12" w:space="0" w:color="auto"/>
              <w:right w:val="single" w:sz="4" w:space="0" w:color="auto"/>
            </w:tcBorders>
            <w:shd w:val="clear" w:color="auto" w:fill="auto"/>
            <w:vAlign w:val="center"/>
          </w:tcPr>
          <w:p w:rsidR="00F8725A" w:rsidRDefault="00BE7D43">
            <w:pPr>
              <w:jc w:val="center"/>
              <w:textAlignment w:val="baseline"/>
              <w:rPr>
                <w:b/>
                <w:noProof/>
                <w:szCs w:val="24"/>
              </w:rPr>
            </w:pPr>
            <w:r>
              <w:rPr>
                <w:b/>
                <w:noProof/>
                <w:szCs w:val="24"/>
              </w:rPr>
              <w:t>Refusé</w:t>
            </w:r>
          </w:p>
        </w:tc>
        <w:tc>
          <w:tcPr>
            <w:tcW w:w="6060" w:type="dxa"/>
            <w:tcBorders>
              <w:top w:val="single" w:sz="12" w:space="0" w:color="auto"/>
              <w:left w:val="single" w:sz="4" w:space="0" w:color="auto"/>
              <w:bottom w:val="single" w:sz="12" w:space="0" w:color="auto"/>
              <w:right w:val="single" w:sz="6" w:space="0" w:color="auto"/>
            </w:tcBorders>
            <w:shd w:val="clear" w:color="auto" w:fill="auto"/>
            <w:vAlign w:val="center"/>
          </w:tcPr>
          <w:p w:rsidR="00F8725A" w:rsidRDefault="00BE7D43">
            <w:pPr>
              <w:textAlignment w:val="baseline"/>
              <w:rPr>
                <w:bCs/>
                <w:noProof/>
                <w:szCs w:val="24"/>
              </w:rPr>
            </w:pPr>
            <w:r>
              <w:rPr>
                <w:noProof/>
              </w:rPr>
              <w:t>En contrepartie de la «méthode» d’actualisation des rémunérations et des pensions, la réforme du statut de 2013 a réintroduit un «prélèvement de solidarité» applicable à partir de 2014, remplaçant les prélèvements antérieurs et similaires. Le taux a été fixé à 6 % (7 % pour les fonctionnaires de grade AD°15, échelon 2, et des grades et échelons supérieurs).</w:t>
            </w:r>
          </w:p>
          <w:p w:rsidR="00F8725A" w:rsidRDefault="00BE7D43">
            <w:pPr>
              <w:textAlignment w:val="baseline"/>
              <w:rPr>
                <w:noProof/>
                <w:szCs w:val="24"/>
              </w:rPr>
            </w:pPr>
            <w:r>
              <w:rPr>
                <w:noProof/>
              </w:rPr>
              <w:t>Des membres du personnel ont contesté la réintroduction de ce prélèvement en faisant notamment valoir que la mise en place du prélèvement alors que la méthode d’adaptation des salaires est suspendue serait contraire au principe de parallélisme de l’évolution du pouvoir d’achat des fonctionnaires de l’Union à celle des fonctionnaires nationaux des administrations centrales. Le Tribunal a rappelé que, dans l’exercice de son large pouvoir d’appréciation, le législateur pouvait prévoir, dans le règlement nº°1023/2013, que le prélèvement de solidarité s’appliquerait pendant une période au cours de laquelle l’application de la méthode d’adaptation des rémunérations était suspendue, même si la pratique était différente dans le passé.</w:t>
            </w:r>
          </w:p>
        </w:tc>
      </w:tr>
      <w:tr w:rsidR="00F8725A">
        <w:trPr>
          <w:trHeight w:val="2522"/>
          <w:jc w:val="center"/>
        </w:trPr>
        <w:tc>
          <w:tcPr>
            <w:tcW w:w="1777" w:type="dxa"/>
            <w:vMerge w:val="restart"/>
            <w:tcBorders>
              <w:top w:val="single" w:sz="12" w:space="0" w:color="auto"/>
            </w:tcBorders>
            <w:vAlign w:val="center"/>
          </w:tcPr>
          <w:p w:rsidR="00F8725A" w:rsidRDefault="00BE7D43">
            <w:pPr>
              <w:rPr>
                <w:b/>
                <w:noProof/>
                <w:szCs w:val="24"/>
              </w:rPr>
            </w:pPr>
            <w:r>
              <w:rPr>
                <w:b/>
                <w:noProof/>
                <w:szCs w:val="24"/>
              </w:rPr>
              <w:t>Régime linguistique de l’institution</w:t>
            </w:r>
          </w:p>
        </w:tc>
        <w:tc>
          <w:tcPr>
            <w:tcW w:w="1544" w:type="dxa"/>
            <w:vMerge w:val="restart"/>
            <w:tcBorders>
              <w:top w:val="single" w:sz="12" w:space="0" w:color="auto"/>
            </w:tcBorders>
            <w:vAlign w:val="center"/>
          </w:tcPr>
          <w:p w:rsidR="00F8725A" w:rsidRDefault="00BE7D43">
            <w:pPr>
              <w:jc w:val="center"/>
              <w:rPr>
                <w:noProof/>
                <w:szCs w:val="24"/>
              </w:rPr>
            </w:pPr>
            <w:r>
              <w:rPr>
                <w:noProof/>
              </w:rPr>
              <w:t>9/9/2020</w:t>
            </w:r>
          </w:p>
          <w:p w:rsidR="00F8725A" w:rsidRDefault="00BE7D43">
            <w:pPr>
              <w:rPr>
                <w:noProof/>
                <w:szCs w:val="24"/>
              </w:rPr>
            </w:pPr>
            <w:r>
              <w:rPr>
                <w:noProof/>
              </w:rPr>
              <w:tab/>
            </w:r>
          </w:p>
        </w:tc>
        <w:tc>
          <w:tcPr>
            <w:tcW w:w="3517" w:type="dxa"/>
            <w:gridSpan w:val="2"/>
            <w:tcBorders>
              <w:top w:val="single" w:sz="12" w:space="0" w:color="auto"/>
              <w:bottom w:val="single" w:sz="4" w:space="0" w:color="auto"/>
            </w:tcBorders>
            <w:vAlign w:val="center"/>
          </w:tcPr>
          <w:p w:rsidR="00F8725A" w:rsidRDefault="00BE7D43">
            <w:pPr>
              <w:jc w:val="center"/>
              <w:rPr>
                <w:i/>
                <w:noProof/>
                <w:szCs w:val="24"/>
              </w:rPr>
            </w:pPr>
            <w:r>
              <w:rPr>
                <w:i/>
                <w:noProof/>
                <w:szCs w:val="24"/>
              </w:rPr>
              <w:t>Affaire T</w:t>
            </w:r>
            <w:r>
              <w:rPr>
                <w:i/>
                <w:noProof/>
                <w:szCs w:val="24"/>
              </w:rPr>
              <w:noBreakHyphen/>
              <w:t>437/16</w:t>
            </w:r>
          </w:p>
          <w:p w:rsidR="00F8725A" w:rsidRDefault="00BE7D43">
            <w:pPr>
              <w:jc w:val="center"/>
              <w:rPr>
                <w:i/>
                <w:noProof/>
                <w:szCs w:val="24"/>
              </w:rPr>
            </w:pPr>
            <w:r>
              <w:rPr>
                <w:i/>
                <w:noProof/>
                <w:szCs w:val="24"/>
              </w:rPr>
              <w:t>Italie/Commission</w:t>
            </w:r>
          </w:p>
        </w:tc>
        <w:tc>
          <w:tcPr>
            <w:tcW w:w="2037" w:type="dxa"/>
            <w:vMerge w:val="restart"/>
            <w:tcBorders>
              <w:top w:val="single" w:sz="12" w:space="0" w:color="auto"/>
            </w:tcBorders>
            <w:vAlign w:val="center"/>
          </w:tcPr>
          <w:p w:rsidR="00F8725A" w:rsidRDefault="00BE7D43">
            <w:pPr>
              <w:jc w:val="center"/>
              <w:rPr>
                <w:b/>
                <w:noProof/>
                <w:szCs w:val="24"/>
              </w:rPr>
            </w:pPr>
            <w:r>
              <w:rPr>
                <w:b/>
                <w:noProof/>
                <w:szCs w:val="24"/>
              </w:rPr>
              <w:t>En attente</w:t>
            </w:r>
          </w:p>
        </w:tc>
        <w:tc>
          <w:tcPr>
            <w:tcW w:w="6060" w:type="dxa"/>
            <w:vMerge w:val="restart"/>
            <w:tcBorders>
              <w:top w:val="single" w:sz="12" w:space="0" w:color="auto"/>
            </w:tcBorders>
            <w:vAlign w:val="center"/>
          </w:tcPr>
          <w:p w:rsidR="00F8725A" w:rsidRDefault="00BE7D43">
            <w:pPr>
              <w:rPr>
                <w:noProof/>
                <w:szCs w:val="24"/>
              </w:rPr>
            </w:pPr>
            <w:r>
              <w:rPr>
                <w:noProof/>
              </w:rPr>
              <w:t>Dans ses arrêts du 9 septembre 2020 dans l’affaire T</w:t>
            </w:r>
            <w:r>
              <w:rPr>
                <w:noProof/>
              </w:rPr>
              <w:noBreakHyphen/>
              <w:t>437/16, Italie/Commission, et dans les affaires jointes T</w:t>
            </w:r>
            <w:r>
              <w:rPr>
                <w:noProof/>
              </w:rPr>
              <w:noBreakHyphen/>
              <w:t>401/16, Espagne/Commission, et T</w:t>
            </w:r>
            <w:r>
              <w:rPr>
                <w:noProof/>
              </w:rPr>
              <w:noBreakHyphen/>
              <w:t>443/16, Italie/Commission, le Tribunal a annulé trois avis de concours publiés par EPSO en 2016 en vue du recrutement de spécialistes (auditeurs et enquêteurs de l’OLAF) pour la Commission et d’autres institutions.</w:t>
            </w:r>
          </w:p>
          <w:p w:rsidR="00F8725A" w:rsidRDefault="00BE7D43">
            <w:pPr>
              <w:rPr>
                <w:noProof/>
                <w:szCs w:val="24"/>
              </w:rPr>
            </w:pPr>
            <w:r>
              <w:rPr>
                <w:noProof/>
              </w:rPr>
              <w:t>Le Tribunal a déclaré, premièrement, que le fait de ne pouvoir indiquer que l’anglais, le français ou l’allemand comme deuxième langue dans laquelle passer certains tests et comme langue de communication avec EPSO durant les procédures de concours était discriminatoire et, deuxièmement, qu’il n’existait aucune preuve de l’existence d’un intérêt du service susceptible de justifier cette limitation linguistique.</w:t>
            </w:r>
          </w:p>
          <w:p w:rsidR="00F8725A" w:rsidRDefault="00BE7D43">
            <w:pPr>
              <w:rPr>
                <w:noProof/>
                <w:szCs w:val="24"/>
              </w:rPr>
            </w:pPr>
            <w:r>
              <w:rPr>
                <w:noProof/>
              </w:rPr>
              <w:t>La Commission a décidé de former un pourvoi contre l’arrêt du Tribunal rendu le 9 septembre 2020 qui, de son avis, est contraire à certains principes établis par la Cour de justice dans la même affaire.</w:t>
            </w:r>
          </w:p>
        </w:tc>
      </w:tr>
      <w:tr w:rsidR="00F8725A">
        <w:trPr>
          <w:trHeight w:val="2313"/>
          <w:jc w:val="center"/>
        </w:trPr>
        <w:tc>
          <w:tcPr>
            <w:tcW w:w="1777" w:type="dxa"/>
            <w:vMerge/>
            <w:vAlign w:val="center"/>
          </w:tcPr>
          <w:p w:rsidR="00F8725A" w:rsidRDefault="00F8725A">
            <w:pPr>
              <w:rPr>
                <w:b/>
                <w:noProof/>
                <w:szCs w:val="24"/>
                <w:lang w:val="fr-BE"/>
              </w:rPr>
            </w:pPr>
          </w:p>
        </w:tc>
        <w:tc>
          <w:tcPr>
            <w:tcW w:w="1544" w:type="dxa"/>
            <w:vMerge/>
            <w:vAlign w:val="center"/>
          </w:tcPr>
          <w:p w:rsidR="00F8725A" w:rsidRDefault="00F8725A">
            <w:pPr>
              <w:rPr>
                <w:noProof/>
                <w:szCs w:val="24"/>
                <w:lang w:val="fr-BE"/>
              </w:rPr>
            </w:pPr>
          </w:p>
        </w:tc>
        <w:tc>
          <w:tcPr>
            <w:tcW w:w="3517" w:type="dxa"/>
            <w:gridSpan w:val="2"/>
            <w:tcBorders>
              <w:top w:val="single" w:sz="4" w:space="0" w:color="auto"/>
              <w:bottom w:val="single" w:sz="12" w:space="0" w:color="auto"/>
            </w:tcBorders>
            <w:vAlign w:val="center"/>
          </w:tcPr>
          <w:p w:rsidR="00F8725A" w:rsidRDefault="00BE7D43">
            <w:pPr>
              <w:jc w:val="center"/>
              <w:rPr>
                <w:i/>
                <w:noProof/>
                <w:szCs w:val="24"/>
              </w:rPr>
            </w:pPr>
            <w:r>
              <w:rPr>
                <w:i/>
                <w:noProof/>
                <w:szCs w:val="24"/>
              </w:rPr>
              <w:t xml:space="preserve">Affaires jointes </w:t>
            </w:r>
          </w:p>
          <w:p w:rsidR="00F8725A" w:rsidRDefault="00BE7D43">
            <w:pPr>
              <w:jc w:val="center"/>
              <w:rPr>
                <w:i/>
                <w:noProof/>
                <w:szCs w:val="24"/>
              </w:rPr>
            </w:pPr>
            <w:r>
              <w:rPr>
                <w:i/>
                <w:noProof/>
                <w:szCs w:val="24"/>
              </w:rPr>
              <w:t>T</w:t>
            </w:r>
            <w:r>
              <w:rPr>
                <w:i/>
                <w:noProof/>
                <w:szCs w:val="24"/>
              </w:rPr>
              <w:noBreakHyphen/>
              <w:t>401/16</w:t>
            </w:r>
          </w:p>
          <w:p w:rsidR="00F8725A" w:rsidRDefault="00BE7D43">
            <w:pPr>
              <w:jc w:val="center"/>
              <w:rPr>
                <w:i/>
                <w:noProof/>
                <w:szCs w:val="24"/>
              </w:rPr>
            </w:pPr>
            <w:r>
              <w:rPr>
                <w:i/>
                <w:noProof/>
                <w:szCs w:val="24"/>
              </w:rPr>
              <w:t xml:space="preserve"> Espagne/Commission </w:t>
            </w:r>
          </w:p>
          <w:p w:rsidR="00F8725A" w:rsidRDefault="00BE7D43">
            <w:pPr>
              <w:jc w:val="center"/>
              <w:rPr>
                <w:i/>
                <w:noProof/>
                <w:szCs w:val="24"/>
              </w:rPr>
            </w:pPr>
            <w:r>
              <w:rPr>
                <w:i/>
                <w:noProof/>
                <w:szCs w:val="24"/>
              </w:rPr>
              <w:t xml:space="preserve">et </w:t>
            </w:r>
          </w:p>
          <w:p w:rsidR="00F8725A" w:rsidRDefault="00BE7D43">
            <w:pPr>
              <w:jc w:val="center"/>
              <w:rPr>
                <w:i/>
                <w:noProof/>
                <w:szCs w:val="24"/>
              </w:rPr>
            </w:pPr>
            <w:r>
              <w:rPr>
                <w:i/>
                <w:noProof/>
                <w:szCs w:val="24"/>
              </w:rPr>
              <w:t>T</w:t>
            </w:r>
            <w:r>
              <w:rPr>
                <w:i/>
                <w:noProof/>
                <w:szCs w:val="24"/>
              </w:rPr>
              <w:noBreakHyphen/>
              <w:t>443/16</w:t>
            </w:r>
          </w:p>
          <w:p w:rsidR="00F8725A" w:rsidRDefault="00BE7D43">
            <w:pPr>
              <w:jc w:val="center"/>
              <w:rPr>
                <w:i/>
                <w:noProof/>
                <w:szCs w:val="24"/>
              </w:rPr>
            </w:pPr>
            <w:r>
              <w:rPr>
                <w:i/>
                <w:noProof/>
                <w:szCs w:val="24"/>
              </w:rPr>
              <w:t>Italie/Commission</w:t>
            </w:r>
          </w:p>
        </w:tc>
        <w:tc>
          <w:tcPr>
            <w:tcW w:w="2037" w:type="dxa"/>
            <w:vMerge/>
            <w:vAlign w:val="center"/>
          </w:tcPr>
          <w:p w:rsidR="00F8725A" w:rsidRDefault="00F8725A">
            <w:pPr>
              <w:jc w:val="center"/>
              <w:rPr>
                <w:b/>
                <w:noProof/>
                <w:szCs w:val="24"/>
                <w:lang w:val="en-IE"/>
              </w:rPr>
            </w:pPr>
          </w:p>
        </w:tc>
        <w:tc>
          <w:tcPr>
            <w:tcW w:w="6060" w:type="dxa"/>
            <w:vMerge/>
            <w:vAlign w:val="center"/>
          </w:tcPr>
          <w:p w:rsidR="00F8725A" w:rsidRDefault="00F8725A">
            <w:pPr>
              <w:rPr>
                <w:noProof/>
                <w:szCs w:val="24"/>
                <w:lang w:val="en-IE"/>
              </w:rPr>
            </w:pPr>
          </w:p>
        </w:tc>
      </w:tr>
    </w:tbl>
    <w:p w:rsidR="00F8725A" w:rsidRDefault="00F8725A">
      <w:pPr>
        <w:spacing w:after="0"/>
        <w:textAlignment w:val="baseline"/>
        <w:rPr>
          <w:b/>
          <w:bCs/>
          <w:noProof/>
          <w:szCs w:val="24"/>
          <w:lang w:val="en-IE"/>
        </w:rPr>
      </w:pPr>
    </w:p>
    <w:sectPr w:rsidR="00F8725A">
      <w:headerReference w:type="even" r:id="rId69"/>
      <w:headerReference w:type="default" r:id="rId70"/>
      <w:footerReference w:type="even" r:id="rId71"/>
      <w:footerReference w:type="default" r:id="rId72"/>
      <w:headerReference w:type="first" r:id="rId73"/>
      <w:footerReference w:type="first" r:id="rId74"/>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423D07" w16cex:dateUtc="2020-11-04T08:12:18.351Z"/>
</w16cex:commentsExtensible>
</file>

<file path=word/commentsIds.xml><?xml version="1.0" encoding="utf-8"?>
<w16cid:commentsIds xmlns:mc="http://schemas.openxmlformats.org/markup-compatibility/2006" xmlns:w16cid="http://schemas.microsoft.com/office/word/2016/wordml/cid" mc:Ignorable="w16cid">
  <w16cid:commentId w16cid:paraId="412985DF" w16cid:durableId="744FB982"/>
  <w16cid:commentId w16cid:paraId="332F43C6" w16cid:durableId="262DC5CE"/>
  <w16cid:commentId w16cid:paraId="575A7627" w16cid:durableId="618BDD7D"/>
  <w16cid:commentId w16cid:paraId="62D611B1" w16cid:durableId="62EA5E55"/>
  <w16cid:commentId w16cid:paraId="59F4FB01" w16cid:durableId="26C9E0DC"/>
  <w16cid:commentId w16cid:paraId="35836E38" w16cid:durableId="598DF5B2"/>
  <w16cid:commentId w16cid:paraId="1D2F3B21" w16cid:durableId="7EF0E94A"/>
  <w16cid:commentId w16cid:paraId="582B9522" w16cid:durableId="2D18138F"/>
  <w16cid:commentId w16cid:paraId="47939AD0" w16cid:durableId="365739AD"/>
  <w16cid:commentId w16cid:paraId="482BC071" w16cid:durableId="14423D07"/>
  <w16cid:commentId w16cid:paraId="6DE86484" w16cid:durableId="3AC4E8CD"/>
  <w16cid:commentId w16cid:paraId="2924AF45" w16cid:durableId="5972D999"/>
  <w16cid:commentId w16cid:paraId="5B61AE55" w16cid:durableId="2C4E61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A2" w:rsidRDefault="00CB38A2">
      <w:pPr>
        <w:spacing w:after="0"/>
      </w:pPr>
      <w:r>
        <w:separator/>
      </w:r>
    </w:p>
  </w:endnote>
  <w:endnote w:type="continuationSeparator" w:id="0">
    <w:p w:rsidR="00CB38A2" w:rsidRDefault="00CB3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833771" w:rsidRPr="00D94637" w:rsidTr="00833771">
      <w:trPr>
        <w:jc w:val="center"/>
      </w:trPr>
      <w:tc>
        <w:tcPr>
          <w:tcW w:w="5000" w:type="pct"/>
          <w:gridSpan w:val="7"/>
          <w:shd w:val="clear" w:color="auto" w:fill="auto"/>
          <w:tcMar>
            <w:top w:w="57" w:type="dxa"/>
          </w:tcMar>
        </w:tcPr>
        <w:p w:rsidR="00833771" w:rsidRPr="00D94637" w:rsidRDefault="00833771" w:rsidP="00D94637">
          <w:pPr>
            <w:pStyle w:val="FooterText"/>
            <w:pBdr>
              <w:top w:val="single" w:sz="4" w:space="1" w:color="auto"/>
            </w:pBdr>
            <w:spacing w:before="200"/>
            <w:rPr>
              <w:sz w:val="2"/>
              <w:szCs w:val="2"/>
            </w:rPr>
          </w:pPr>
          <w:bookmarkStart w:id="3" w:name="FOOTER_STANDARD"/>
        </w:p>
      </w:tc>
    </w:tr>
    <w:tr w:rsidR="00833771" w:rsidRPr="00B310DC" w:rsidTr="00833771">
      <w:trPr>
        <w:jc w:val="center"/>
      </w:trPr>
      <w:tc>
        <w:tcPr>
          <w:tcW w:w="2500" w:type="pct"/>
          <w:gridSpan w:val="2"/>
          <w:shd w:val="clear" w:color="auto" w:fill="auto"/>
          <w:tcMar>
            <w:top w:w="0" w:type="dxa"/>
          </w:tcMar>
        </w:tcPr>
        <w:p w:rsidR="00833771" w:rsidRPr="00AD7BF2" w:rsidRDefault="00833771" w:rsidP="004F54B2">
          <w:pPr>
            <w:pStyle w:val="FooterText"/>
          </w:pPr>
          <w:r>
            <w:t>11164/21</w:t>
          </w:r>
          <w:r w:rsidRPr="002511D8">
            <w:t xml:space="preserve"> </w:t>
          </w:r>
        </w:p>
      </w:tc>
      <w:tc>
        <w:tcPr>
          <w:tcW w:w="625" w:type="pct"/>
          <w:shd w:val="clear" w:color="auto" w:fill="auto"/>
          <w:tcMar>
            <w:top w:w="0" w:type="dxa"/>
          </w:tcMar>
        </w:tcPr>
        <w:p w:rsidR="00833771" w:rsidRPr="00AD7BF2" w:rsidRDefault="00833771" w:rsidP="00D94637">
          <w:pPr>
            <w:pStyle w:val="FooterText"/>
            <w:jc w:val="center"/>
          </w:pPr>
        </w:p>
      </w:tc>
      <w:tc>
        <w:tcPr>
          <w:tcW w:w="1286" w:type="pct"/>
          <w:gridSpan w:val="3"/>
          <w:shd w:val="clear" w:color="auto" w:fill="auto"/>
          <w:tcMar>
            <w:top w:w="0" w:type="dxa"/>
          </w:tcMar>
        </w:tcPr>
        <w:p w:rsidR="00833771" w:rsidRPr="002511D8" w:rsidRDefault="00833771" w:rsidP="00D94637">
          <w:pPr>
            <w:pStyle w:val="FooterText"/>
            <w:jc w:val="center"/>
          </w:pPr>
          <w:r>
            <w:t>cv</w:t>
          </w:r>
        </w:p>
      </w:tc>
      <w:tc>
        <w:tcPr>
          <w:tcW w:w="589" w:type="pct"/>
          <w:shd w:val="clear" w:color="auto" w:fill="auto"/>
          <w:tcMar>
            <w:top w:w="0" w:type="dxa"/>
          </w:tcMar>
        </w:tcPr>
        <w:p w:rsidR="00833771" w:rsidRPr="00B310DC" w:rsidRDefault="00833771" w:rsidP="00833771">
          <w:pPr>
            <w:pStyle w:val="FooterText"/>
            <w:jc w:val="right"/>
          </w:pPr>
          <w:r>
            <w:fldChar w:fldCharType="begin"/>
          </w:r>
          <w:r>
            <w:instrText xml:space="preserve"> PAGE  \* MERGEFORMAT </w:instrText>
          </w:r>
          <w:r>
            <w:fldChar w:fldCharType="separate"/>
          </w:r>
          <w:r>
            <w:rPr>
              <w:noProof/>
            </w:rPr>
            <w:t>0</w:t>
          </w:r>
          <w:r>
            <w:fldChar w:fldCharType="end"/>
          </w:r>
        </w:p>
      </w:tc>
    </w:tr>
    <w:tr w:rsidR="00833771" w:rsidRPr="00D94637" w:rsidTr="00833771">
      <w:trPr>
        <w:jc w:val="center"/>
      </w:trPr>
      <w:tc>
        <w:tcPr>
          <w:tcW w:w="1774" w:type="pct"/>
          <w:shd w:val="clear" w:color="auto" w:fill="auto"/>
        </w:tcPr>
        <w:p w:rsidR="00833771" w:rsidRPr="00AD7BF2" w:rsidRDefault="00833771" w:rsidP="00D94637">
          <w:pPr>
            <w:pStyle w:val="FooterText"/>
            <w:spacing w:before="40"/>
          </w:pPr>
        </w:p>
      </w:tc>
      <w:tc>
        <w:tcPr>
          <w:tcW w:w="1455" w:type="pct"/>
          <w:gridSpan w:val="3"/>
          <w:shd w:val="clear" w:color="auto" w:fill="auto"/>
        </w:tcPr>
        <w:p w:rsidR="00833771" w:rsidRPr="00AD7BF2" w:rsidRDefault="00833771" w:rsidP="00D204D6">
          <w:pPr>
            <w:pStyle w:val="FooterText"/>
            <w:spacing w:before="40"/>
            <w:jc w:val="center"/>
          </w:pPr>
          <w:r>
            <w:t>ORG.1.F</w:t>
          </w:r>
        </w:p>
      </w:tc>
      <w:tc>
        <w:tcPr>
          <w:tcW w:w="742" w:type="pct"/>
          <w:shd w:val="clear" w:color="auto" w:fill="auto"/>
        </w:tcPr>
        <w:p w:rsidR="00833771" w:rsidRPr="00D94637" w:rsidRDefault="00833771" w:rsidP="002F0099">
          <w:pPr>
            <w:pStyle w:val="FooterText"/>
            <w:jc w:val="center"/>
            <w:rPr>
              <w:b/>
              <w:position w:val="-4"/>
              <w:sz w:val="36"/>
            </w:rPr>
          </w:pPr>
        </w:p>
      </w:tc>
      <w:tc>
        <w:tcPr>
          <w:tcW w:w="1029" w:type="pct"/>
          <w:gridSpan w:val="2"/>
          <w:shd w:val="clear" w:color="auto" w:fill="auto"/>
        </w:tcPr>
        <w:p w:rsidR="00833771" w:rsidRPr="000310C2" w:rsidRDefault="00833771" w:rsidP="00D94637">
          <w:pPr>
            <w:pStyle w:val="FooterText"/>
            <w:jc w:val="right"/>
            <w:rPr>
              <w:spacing w:val="-20"/>
              <w:sz w:val="16"/>
            </w:rPr>
          </w:pPr>
          <w:r>
            <w:rPr>
              <w:b/>
              <w:spacing w:val="-20"/>
              <w:position w:val="-4"/>
              <w:sz w:val="36"/>
            </w:rPr>
            <w:t>FR</w:t>
          </w:r>
        </w:p>
      </w:tc>
    </w:tr>
    <w:bookmarkEnd w:id="3"/>
  </w:tbl>
  <w:p w:rsidR="00F8725A" w:rsidRPr="00833771" w:rsidRDefault="00F8725A" w:rsidP="00833771">
    <w:pPr>
      <w:pStyle w:val="FooterCounci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BE7D43">
    <w:pPr>
      <w:pStyle w:val="FooterLine"/>
      <w:jc w:val="center"/>
    </w:pPr>
    <w:r>
      <w:fldChar w:fldCharType="begin"/>
    </w:r>
    <w:r>
      <w:instrText>PAGE   \* MERGEFORMAT</w:instrText>
    </w:r>
    <w:r>
      <w:fldChar w:fldCharType="separate"/>
    </w:r>
    <w:r w:rsidR="003911CB">
      <w:rPr>
        <w:noProof/>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80686"/>
      <w:docPartObj>
        <w:docPartGallery w:val="Page Numbers (Bottom of Page)"/>
        <w:docPartUnique/>
      </w:docPartObj>
    </w:sdtPr>
    <w:sdtEndPr>
      <w:rPr>
        <w:noProof/>
      </w:rPr>
    </w:sdtEndPr>
    <w:sdtContent>
      <w:p w:rsidR="00F8725A" w:rsidRDefault="00BE7D43">
        <w:pPr>
          <w:pStyle w:val="Footer"/>
          <w:jc w:val="center"/>
        </w:pPr>
        <w:r>
          <w:fldChar w:fldCharType="begin"/>
        </w:r>
        <w:r>
          <w:instrText xml:space="preserve"> PAGE   \* MERGEFORMAT </w:instrText>
        </w:r>
        <w:r>
          <w:fldChar w:fldCharType="separate"/>
        </w:r>
        <w:r w:rsidR="00712268">
          <w:rPr>
            <w:noProof/>
          </w:rPr>
          <w:t>18</w:t>
        </w:r>
        <w:r>
          <w:rPr>
            <w:noProof/>
          </w:rPr>
          <w:fldChar w:fldCharType="end"/>
        </w:r>
      </w:p>
    </w:sdtContent>
  </w:sdt>
  <w:p w:rsidR="00F8725A" w:rsidRDefault="00F8725A">
    <w:pPr>
      <w:pStyle w:val="Footer"/>
      <w:tabs>
        <w:tab w:val="left" w:pos="6290"/>
      </w:tabs>
      <w:rPr>
        <w:lang w:val="fr-BE"/>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BE7D43">
    <w:pPr>
      <w:pStyle w:val="FooterLine"/>
      <w:jc w:val="center"/>
    </w:pPr>
    <w:r>
      <w:fldChar w:fldCharType="begin"/>
    </w:r>
    <w:r>
      <w:instrText>PAGE   \* MERGEFORMAT</w:instrText>
    </w:r>
    <w:r>
      <w:fldChar w:fldCharType="separate"/>
    </w:r>
    <w:r>
      <w:t>1</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61775"/>
      <w:docPartObj>
        <w:docPartGallery w:val="Page Numbers (Bottom of Page)"/>
        <w:docPartUnique/>
      </w:docPartObj>
    </w:sdtPr>
    <w:sdtEndPr>
      <w:rPr>
        <w:noProof/>
      </w:rPr>
    </w:sdtEndPr>
    <w:sdtContent>
      <w:p w:rsidR="00F8725A" w:rsidRDefault="00BE7D43">
        <w:pPr>
          <w:pStyle w:val="Footer"/>
          <w:jc w:val="center"/>
        </w:pPr>
        <w:r>
          <w:fldChar w:fldCharType="begin"/>
        </w:r>
        <w:r>
          <w:instrText xml:space="preserve"> PAGE   \* MERGEFORMAT </w:instrText>
        </w:r>
        <w:r>
          <w:fldChar w:fldCharType="separate"/>
        </w:r>
        <w:r w:rsidR="00712268">
          <w:rPr>
            <w:noProof/>
          </w:rPr>
          <w:t>25</w:t>
        </w:r>
        <w:r>
          <w:rPr>
            <w:noProof/>
          </w:rPr>
          <w:fldChar w:fldCharType="end"/>
        </w:r>
      </w:p>
    </w:sdtContent>
  </w:sdt>
  <w:p w:rsidR="00F8725A" w:rsidRDefault="00F8725A">
    <w:pPr>
      <w:pStyle w:val="FooterLine"/>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131957"/>
      <w:docPartObj>
        <w:docPartGallery w:val="Page Numbers (Bottom of Page)"/>
        <w:docPartUnique/>
      </w:docPartObj>
    </w:sdtPr>
    <w:sdtEndPr>
      <w:rPr>
        <w:noProof/>
      </w:rPr>
    </w:sdtEndPr>
    <w:sdtContent>
      <w:p w:rsidR="00F8725A" w:rsidRDefault="00BE7D43">
        <w:pPr>
          <w:pStyle w:val="Footer"/>
          <w:jc w:val="center"/>
        </w:pPr>
        <w:r>
          <w:fldChar w:fldCharType="begin"/>
        </w:r>
        <w:r>
          <w:instrText xml:space="preserve"> PAGE   \* MERGEFORMAT </w:instrText>
        </w:r>
        <w:r>
          <w:fldChar w:fldCharType="separate"/>
        </w:r>
        <w:r w:rsidR="00712268">
          <w:rPr>
            <w:noProof/>
          </w:rPr>
          <w:t>19</w:t>
        </w:r>
        <w:r>
          <w:rPr>
            <w:noProof/>
          </w:rPr>
          <w:fldChar w:fldCharType="end"/>
        </w:r>
      </w:p>
    </w:sdtContent>
  </w:sdt>
  <w:p w:rsidR="00F8725A" w:rsidRDefault="00F8725A">
    <w:pPr>
      <w:pStyle w:val="Footer"/>
      <w:rPr>
        <w:sz w:val="24"/>
        <w:lang w:val="fr-BE"/>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BE7D43">
    <w:pPr>
      <w:pStyle w:val="FooterLine"/>
      <w:jc w:val="center"/>
    </w:pPr>
    <w:r>
      <w:fldChar w:fldCharType="begin"/>
    </w:r>
    <w:r>
      <w:instrText>PAGE   \* MERGEFORMAT</w:instrText>
    </w:r>
    <w:r>
      <w:fldChar w:fldCharType="separate"/>
    </w:r>
    <w:r>
      <w:t>1</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BE7D43">
    <w:pPr>
      <w:pStyle w:val="FooterLine"/>
      <w:jc w:val="center"/>
    </w:pPr>
    <w:r>
      <w:fldChar w:fldCharType="begin"/>
    </w:r>
    <w:r>
      <w:instrText>PAGE   \* MERGEFORMAT</w:instrText>
    </w:r>
    <w:r>
      <w:fldChar w:fldCharType="separate"/>
    </w:r>
    <w:r w:rsidR="00712268">
      <w:rPr>
        <w:noProof/>
      </w:rPr>
      <w:t>34</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n-tête de la CE – Standard "/>
      <w:tag w:val="SVoGAZ38gakDmzcHmLly90-Uz5BECj2qQF70SGAMzDdI0"/>
      <w:id w:val="-707488304"/>
    </w:sdtPr>
    <w:sdtEndPr/>
    <w:sdtContent>
      <w:p w:rsidR="00F8725A" w:rsidRDefault="00F8725A">
        <w:pPr>
          <w:pStyle w:val="Footer"/>
          <w:rPr>
            <w:sz w:val="24"/>
          </w:rPr>
        </w:pPr>
      </w:p>
      <w:p w:rsidR="00F8725A" w:rsidRDefault="00CB38A2">
        <w:pPr>
          <w:pStyle w:val="Footer"/>
        </w:pPr>
        <w:sdt>
          <w:sdtPr>
            <w:id w:val="-1270539981"/>
            <w:dataBinding w:xpath="/Author/Addresses/Address[Id = 'f03b5801-04c9-4931-aa17-c6d6c70bc579']/Footer" w:storeItemID="{272DCEA4-7109-4B17-96D0-93B484ED1E2D}"/>
            <w:text w:multiLine="1"/>
          </w:sdtPr>
          <w:sdtEndPr/>
          <w:sdtContent>
            <w:r w:rsidR="00BE7D43">
              <w:t>Commission européenne, 1049 Bruxelles, BELGIQUE - Tél. +32 22991111</w:t>
            </w:r>
          </w:sdtContent>
        </w:sdt>
      </w:p>
      <w:p w:rsidR="00F8725A" w:rsidRDefault="00CB38A2">
        <w:pPr>
          <w:pStyle w:val="Footer"/>
        </w:pPr>
        <w:sdt>
          <w:sdtPr>
            <w:id w:val="375436050"/>
            <w:dataBinding w:xpath="/Texts/FooterOffice" w:storeItemID="{4EF90DE6-88B6-4264-9629-4D8DFDFE87D2}"/>
            <w:text w:multiLine="1"/>
          </w:sdtPr>
          <w:sdtEndPr/>
          <w:sdtContent>
            <w:r w:rsidR="00BE7D43">
              <w:t>Bureau:</w:t>
            </w:r>
          </w:sdtContent>
        </w:sdt>
        <w:r w:rsidR="00BE7D43">
          <w:t xml:space="preserve"> </w:t>
        </w:r>
        <w:sdt>
          <w:sdtPr>
            <w:id w:val="571314234"/>
            <w:dataBinding w:xpath="/Author/Workplaces/Workplace[AddressId = 'f03b5801-04c9-4931-aa17-c6d6c70bc579']/Office" w:storeItemID="{272DCEA4-7109-4B17-96D0-93B484ED1E2D}"/>
            <w:text w:multiLine="1"/>
          </w:sdtPr>
          <w:sdtEndPr/>
          <w:sdtContent>
            <w:r w:rsidR="00BE7D43">
              <w:t>SC11 05/060</w:t>
            </w:r>
          </w:sdtContent>
        </w:sdt>
        <w:r w:rsidR="00BE7D43">
          <w:t xml:space="preserve"> - </w:t>
        </w:r>
        <w:sdt>
          <w:sdtPr>
            <w:id w:val="1345980611"/>
            <w:dataBinding w:xpath="/Texts/FooterPhone" w:storeItemID="{4EF90DE6-88B6-4264-9629-4D8DFDFE87D2}"/>
            <w:text w:multiLine="1"/>
          </w:sdtPr>
          <w:sdtEndPr/>
          <w:sdtContent>
            <w:r w:rsidR="00BE7D43">
              <w:t xml:space="preserve">Tél. direct </w:t>
            </w:r>
          </w:sdtContent>
        </w:sdt>
        <w:r w:rsidR="00BE7D43">
          <w:t xml:space="preserve"> </w:t>
        </w:r>
        <w:sdt>
          <w:sdtPr>
            <w:id w:val="1716310777"/>
            <w:dataBinding w:xpath="/Author/Workplaces/Workplace[AddressId = 'f03b5801-04c9-4931-aa17-c6d6c70bc579']/Phone" w:storeItemID="{272DCEA4-7109-4B17-96D0-93B484ED1E2D}"/>
            <w:text w:multiLine="1"/>
          </w:sdtPr>
          <w:sdtEndPr/>
          <w:sdtContent>
            <w:r w:rsidR="00BE7D43">
              <w:t>+32 229-69098</w:t>
            </w:r>
          </w:sdtContent>
        </w:sdt>
      </w:p>
      <w:p w:rsidR="00F8725A" w:rsidRDefault="00CB38A2">
        <w:pPr>
          <w:pStyle w:val="Footer"/>
          <w:rPr>
            <w:sz w:val="12"/>
          </w:rPr>
        </w:pPr>
      </w:p>
    </w:sdtContent>
  </w:sdt>
  <w:p w:rsidR="00F8725A" w:rsidRDefault="00CB38A2">
    <w:pPr>
      <w:pStyle w:val="Footer"/>
    </w:pPr>
    <w:sdt>
      <w:sdtPr>
        <w:alias w:val="Courriel:"/>
        <w:tag w:val="MjGgt6e7BqMZJMWY5fWzc6"/>
        <w:id w:val="99696275"/>
        <w:dataBinding w:xpath="/Author/Email" w:storeItemID="{272DCEA4-7109-4B17-96D0-93B484ED1E2D}"/>
        <w:text w:multiLine="1"/>
      </w:sdtPr>
      <w:sdtEndPr/>
      <w:sdtContent>
        <w:r w:rsidR="00BE7D43">
          <w:t>Stanislav.DEMIRDJIEV@ec.europa.eu</w:t>
        </w:r>
      </w:sdtContent>
    </w:sdt>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BE7D43">
    <w:pPr>
      <w:pStyle w:val="FooterLine"/>
      <w:jc w:val="center"/>
    </w:pPr>
    <w:r>
      <w:fldChar w:fldCharType="begin"/>
    </w:r>
    <w:r>
      <w:instrText>PAGE   \* MERGEFORMAT</w:instrText>
    </w:r>
    <w:r>
      <w:fldChar w:fldCharType="separate"/>
    </w:r>
    <w:r>
      <w:t>1</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BE7D43">
    <w:pPr>
      <w:pStyle w:val="FooterLine"/>
      <w:jc w:val="center"/>
    </w:pPr>
    <w:r>
      <w:fldChar w:fldCharType="begin"/>
    </w:r>
    <w:r>
      <w:instrText>PAGE   \* MERGEFORMAT</w:instrText>
    </w:r>
    <w:r>
      <w:fldChar w:fldCharType="separate"/>
    </w:r>
    <w:r w:rsidR="00B873CB">
      <w:rPr>
        <w:noProof/>
      </w:rPr>
      <w:t>94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833771" w:rsidRPr="00D94637" w:rsidTr="00833771">
      <w:trPr>
        <w:jc w:val="center"/>
      </w:trPr>
      <w:tc>
        <w:tcPr>
          <w:tcW w:w="5000" w:type="pct"/>
          <w:gridSpan w:val="7"/>
          <w:shd w:val="clear" w:color="auto" w:fill="auto"/>
          <w:tcMar>
            <w:top w:w="57" w:type="dxa"/>
          </w:tcMar>
        </w:tcPr>
        <w:p w:rsidR="00833771" w:rsidRPr="00D94637" w:rsidRDefault="00833771" w:rsidP="00D94637">
          <w:pPr>
            <w:pStyle w:val="FooterText"/>
            <w:pBdr>
              <w:top w:val="single" w:sz="4" w:space="1" w:color="auto"/>
            </w:pBdr>
            <w:spacing w:before="200"/>
            <w:rPr>
              <w:sz w:val="2"/>
              <w:szCs w:val="2"/>
            </w:rPr>
          </w:pPr>
        </w:p>
      </w:tc>
    </w:tr>
    <w:tr w:rsidR="00833771" w:rsidRPr="00B310DC" w:rsidTr="00833771">
      <w:trPr>
        <w:jc w:val="center"/>
      </w:trPr>
      <w:tc>
        <w:tcPr>
          <w:tcW w:w="2500" w:type="pct"/>
          <w:gridSpan w:val="2"/>
          <w:shd w:val="clear" w:color="auto" w:fill="auto"/>
          <w:tcMar>
            <w:top w:w="0" w:type="dxa"/>
          </w:tcMar>
        </w:tcPr>
        <w:p w:rsidR="00833771" w:rsidRPr="00AD7BF2" w:rsidRDefault="00833771" w:rsidP="004F54B2">
          <w:pPr>
            <w:pStyle w:val="FooterText"/>
          </w:pPr>
          <w:r>
            <w:t>11164/21</w:t>
          </w:r>
          <w:r w:rsidRPr="002511D8">
            <w:t xml:space="preserve"> </w:t>
          </w:r>
        </w:p>
      </w:tc>
      <w:tc>
        <w:tcPr>
          <w:tcW w:w="625" w:type="pct"/>
          <w:shd w:val="clear" w:color="auto" w:fill="auto"/>
          <w:tcMar>
            <w:top w:w="0" w:type="dxa"/>
          </w:tcMar>
        </w:tcPr>
        <w:p w:rsidR="00833771" w:rsidRPr="00AD7BF2" w:rsidRDefault="00833771" w:rsidP="00D94637">
          <w:pPr>
            <w:pStyle w:val="FooterText"/>
            <w:jc w:val="center"/>
          </w:pPr>
        </w:p>
      </w:tc>
      <w:tc>
        <w:tcPr>
          <w:tcW w:w="1286" w:type="pct"/>
          <w:gridSpan w:val="3"/>
          <w:shd w:val="clear" w:color="auto" w:fill="auto"/>
          <w:tcMar>
            <w:top w:w="0" w:type="dxa"/>
          </w:tcMar>
        </w:tcPr>
        <w:p w:rsidR="00833771" w:rsidRPr="002511D8" w:rsidRDefault="00833771" w:rsidP="00D94637">
          <w:pPr>
            <w:pStyle w:val="FooterText"/>
            <w:jc w:val="center"/>
          </w:pPr>
          <w:r>
            <w:t>cv</w:t>
          </w:r>
        </w:p>
      </w:tc>
      <w:tc>
        <w:tcPr>
          <w:tcW w:w="589" w:type="pct"/>
          <w:shd w:val="clear" w:color="auto" w:fill="auto"/>
          <w:tcMar>
            <w:top w:w="0" w:type="dxa"/>
          </w:tcMar>
        </w:tcPr>
        <w:p w:rsidR="00833771" w:rsidRPr="00B310DC" w:rsidRDefault="00833771" w:rsidP="00D94637">
          <w:pPr>
            <w:pStyle w:val="FooterText"/>
            <w:jc w:val="right"/>
          </w:pPr>
        </w:p>
      </w:tc>
    </w:tr>
    <w:tr w:rsidR="00833771" w:rsidRPr="00D94637" w:rsidTr="00833771">
      <w:trPr>
        <w:jc w:val="center"/>
      </w:trPr>
      <w:tc>
        <w:tcPr>
          <w:tcW w:w="1774" w:type="pct"/>
          <w:shd w:val="clear" w:color="auto" w:fill="auto"/>
        </w:tcPr>
        <w:p w:rsidR="00833771" w:rsidRPr="00AD7BF2" w:rsidRDefault="00833771" w:rsidP="00D94637">
          <w:pPr>
            <w:pStyle w:val="FooterText"/>
            <w:spacing w:before="40"/>
          </w:pPr>
        </w:p>
      </w:tc>
      <w:tc>
        <w:tcPr>
          <w:tcW w:w="1455" w:type="pct"/>
          <w:gridSpan w:val="3"/>
          <w:shd w:val="clear" w:color="auto" w:fill="auto"/>
        </w:tcPr>
        <w:p w:rsidR="00833771" w:rsidRPr="00AD7BF2" w:rsidRDefault="00833771" w:rsidP="00D204D6">
          <w:pPr>
            <w:pStyle w:val="FooterText"/>
            <w:spacing w:before="40"/>
            <w:jc w:val="center"/>
          </w:pPr>
          <w:r>
            <w:t>ORG.1.F</w:t>
          </w:r>
        </w:p>
      </w:tc>
      <w:tc>
        <w:tcPr>
          <w:tcW w:w="742" w:type="pct"/>
          <w:shd w:val="clear" w:color="auto" w:fill="auto"/>
        </w:tcPr>
        <w:p w:rsidR="00833771" w:rsidRPr="00D94637" w:rsidRDefault="00833771" w:rsidP="002F0099">
          <w:pPr>
            <w:pStyle w:val="FooterText"/>
            <w:jc w:val="center"/>
            <w:rPr>
              <w:b/>
              <w:position w:val="-4"/>
              <w:sz w:val="36"/>
            </w:rPr>
          </w:pPr>
        </w:p>
      </w:tc>
      <w:tc>
        <w:tcPr>
          <w:tcW w:w="1029" w:type="pct"/>
          <w:gridSpan w:val="2"/>
          <w:shd w:val="clear" w:color="auto" w:fill="auto"/>
        </w:tcPr>
        <w:p w:rsidR="00833771" w:rsidRPr="000310C2" w:rsidRDefault="00833771" w:rsidP="00D94637">
          <w:pPr>
            <w:pStyle w:val="FooterText"/>
            <w:jc w:val="right"/>
            <w:rPr>
              <w:spacing w:val="-20"/>
              <w:sz w:val="16"/>
            </w:rPr>
          </w:pPr>
          <w:r>
            <w:rPr>
              <w:b/>
              <w:spacing w:val="-20"/>
              <w:position w:val="-4"/>
              <w:sz w:val="36"/>
            </w:rPr>
            <w:t>FR</w:t>
          </w:r>
        </w:p>
      </w:tc>
    </w:tr>
  </w:tbl>
  <w:p w:rsidR="00F8725A" w:rsidRPr="00833771" w:rsidRDefault="00F8725A" w:rsidP="00833771">
    <w:pPr>
      <w:pStyle w:val="FooterCouncil"/>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n-tête de la CE – Standard "/>
      <w:tag w:val="SVoGAZ38gakDmzcHmLly90-Uz5BECj2qQF70SGAMzDdI0"/>
      <w:id w:val="-1753357424"/>
    </w:sdtPr>
    <w:sdtEndPr/>
    <w:sdtContent>
      <w:p w:rsidR="00F8725A" w:rsidRDefault="00F8725A">
        <w:pPr>
          <w:pStyle w:val="Footer"/>
          <w:rPr>
            <w:sz w:val="24"/>
          </w:rPr>
        </w:pPr>
      </w:p>
      <w:p w:rsidR="00F8725A" w:rsidRDefault="00CB38A2">
        <w:pPr>
          <w:pStyle w:val="Footer"/>
        </w:pPr>
        <w:sdt>
          <w:sdtPr>
            <w:id w:val="-2145109487"/>
            <w:dataBinding w:xpath="/Author/Addresses/Address[Id = 'f03b5801-04c9-4931-aa17-c6d6c70bc579']/Footer" w:storeItemID="{272DCEA4-7109-4B17-96D0-93B484ED1E2D}"/>
            <w:text w:multiLine="1"/>
          </w:sdtPr>
          <w:sdtEndPr/>
          <w:sdtContent>
            <w:r w:rsidR="00BE7D43">
              <w:t>Commission européenne, 1049 Bruxelles, BELGIQUE - Tél. +32 22991111</w:t>
            </w:r>
          </w:sdtContent>
        </w:sdt>
      </w:p>
      <w:p w:rsidR="00F8725A" w:rsidRDefault="00CB38A2">
        <w:pPr>
          <w:pStyle w:val="Footer"/>
        </w:pPr>
        <w:sdt>
          <w:sdtPr>
            <w:id w:val="-377542328"/>
            <w:dataBinding w:xpath="/Texts/FooterOffice" w:storeItemID="{4EF90DE6-88B6-4264-9629-4D8DFDFE87D2}"/>
            <w:text w:multiLine="1"/>
          </w:sdtPr>
          <w:sdtEndPr/>
          <w:sdtContent>
            <w:r w:rsidR="00BE7D43">
              <w:t>Bureau:</w:t>
            </w:r>
          </w:sdtContent>
        </w:sdt>
        <w:r w:rsidR="00BE7D43">
          <w:t xml:space="preserve"> </w:t>
        </w:r>
        <w:sdt>
          <w:sdtPr>
            <w:id w:val="13351775"/>
            <w:dataBinding w:xpath="/Author/Workplaces/Workplace[AddressId = 'f03b5801-04c9-4931-aa17-c6d6c70bc579']/Office" w:storeItemID="{272DCEA4-7109-4B17-96D0-93B484ED1E2D}"/>
            <w:text w:multiLine="1"/>
          </w:sdtPr>
          <w:sdtEndPr/>
          <w:sdtContent>
            <w:r w:rsidR="00BE7D43">
              <w:t>SC11 05/060</w:t>
            </w:r>
          </w:sdtContent>
        </w:sdt>
        <w:r w:rsidR="00BE7D43">
          <w:t xml:space="preserve"> - </w:t>
        </w:r>
        <w:sdt>
          <w:sdtPr>
            <w:id w:val="-1990384199"/>
            <w:dataBinding w:xpath="/Texts/FooterPhone" w:storeItemID="{4EF90DE6-88B6-4264-9629-4D8DFDFE87D2}"/>
            <w:text w:multiLine="1"/>
          </w:sdtPr>
          <w:sdtEndPr/>
          <w:sdtContent>
            <w:r w:rsidR="00BE7D43">
              <w:t xml:space="preserve">Tél. direct </w:t>
            </w:r>
          </w:sdtContent>
        </w:sdt>
        <w:r w:rsidR="00BE7D43">
          <w:t xml:space="preserve"> </w:t>
        </w:r>
        <w:sdt>
          <w:sdtPr>
            <w:id w:val="-2059622815"/>
            <w:dataBinding w:xpath="/Author/Workplaces/Workplace[AddressId = 'f03b5801-04c9-4931-aa17-c6d6c70bc579']/Phone" w:storeItemID="{272DCEA4-7109-4B17-96D0-93B484ED1E2D}"/>
            <w:text w:multiLine="1"/>
          </w:sdtPr>
          <w:sdtEndPr/>
          <w:sdtContent>
            <w:r w:rsidR="00BE7D43">
              <w:t>+32 229-69098</w:t>
            </w:r>
          </w:sdtContent>
        </w:sdt>
      </w:p>
      <w:p w:rsidR="00F8725A" w:rsidRDefault="00CB38A2">
        <w:pPr>
          <w:pStyle w:val="Footer"/>
          <w:rPr>
            <w:sz w:val="12"/>
          </w:rPr>
        </w:pPr>
      </w:p>
    </w:sdtContent>
  </w:sdt>
  <w:p w:rsidR="00F8725A" w:rsidRDefault="00CB38A2">
    <w:pPr>
      <w:pStyle w:val="Footer"/>
    </w:pPr>
    <w:sdt>
      <w:sdtPr>
        <w:alias w:val="Courriel:"/>
        <w:tag w:val="MjGgt6e7BqMZJMWY5fWzc6"/>
        <w:id w:val="1115493603"/>
        <w:dataBinding w:xpath="/Author/Email" w:storeItemID="{272DCEA4-7109-4B17-96D0-93B484ED1E2D}"/>
        <w:text w:multiLine="1"/>
      </w:sdtPr>
      <w:sdtEndPr/>
      <w:sdtContent>
        <w:r w:rsidR="00BE7D43">
          <w:t>Stanislav.DEMIRDJIEV@ec.europa.eu</w:t>
        </w:r>
      </w:sdtContent>
    </w:sdt>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BE7D43">
    <w:pPr>
      <w:pStyle w:val="FooterLine"/>
      <w:jc w:val="center"/>
    </w:pPr>
    <w:r>
      <w:fldChar w:fldCharType="begin"/>
    </w:r>
    <w:r>
      <w:instrText>PAGE   \* MERGEFORMAT</w:instrText>
    </w:r>
    <w:r>
      <w:fldChar w:fldCharType="separate"/>
    </w:r>
    <w:r>
      <w:t>1</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BE7D43">
    <w:pPr>
      <w:pStyle w:val="FooterLine"/>
      <w:jc w:val="center"/>
    </w:pPr>
    <w:r>
      <w:fldChar w:fldCharType="begin"/>
    </w:r>
    <w:r>
      <w:instrText>PAGE   \* MERGEFORMAT</w:instrText>
    </w:r>
    <w:r>
      <w:fldChar w:fldCharType="separate"/>
    </w:r>
    <w:r w:rsidR="00B873CB">
      <w:rPr>
        <w:noProof/>
      </w:rPr>
      <w:t>96</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n-tête de la CE – Standard "/>
      <w:tag w:val="SVoGAZ38gakDmzcHmLly90-Uz5BECj2qQF70SGAMzDdI0"/>
      <w:id w:val="-1066948959"/>
    </w:sdtPr>
    <w:sdtEndPr/>
    <w:sdtContent>
      <w:p w:rsidR="00F8725A" w:rsidRDefault="00F8725A">
        <w:pPr>
          <w:pStyle w:val="Footer"/>
          <w:rPr>
            <w:sz w:val="24"/>
          </w:rPr>
        </w:pPr>
      </w:p>
      <w:p w:rsidR="00F8725A" w:rsidRDefault="00CB38A2">
        <w:pPr>
          <w:pStyle w:val="Footer"/>
        </w:pPr>
        <w:sdt>
          <w:sdtPr>
            <w:id w:val="-624772655"/>
            <w:dataBinding w:xpath="/Author/Addresses/Address[Id = 'f03b5801-04c9-4931-aa17-c6d6c70bc579']/Footer" w:storeItemID="{272DCEA4-7109-4B17-96D0-93B484ED1E2D}"/>
            <w:text w:multiLine="1"/>
          </w:sdtPr>
          <w:sdtEndPr/>
          <w:sdtContent>
            <w:r w:rsidR="00BE7D43">
              <w:t>Commission européenne, 1049 Bruxelles, BELGIQUE - Tél. +32 22991111</w:t>
            </w:r>
          </w:sdtContent>
        </w:sdt>
      </w:p>
      <w:p w:rsidR="00F8725A" w:rsidRDefault="00CB38A2">
        <w:pPr>
          <w:pStyle w:val="Footer"/>
        </w:pPr>
        <w:sdt>
          <w:sdtPr>
            <w:id w:val="-477842766"/>
            <w:dataBinding w:xpath="/Texts/FooterOffice" w:storeItemID="{4EF90DE6-88B6-4264-9629-4D8DFDFE87D2}"/>
            <w:text w:multiLine="1"/>
          </w:sdtPr>
          <w:sdtEndPr/>
          <w:sdtContent>
            <w:r w:rsidR="00BE7D43">
              <w:t>Bureau:</w:t>
            </w:r>
          </w:sdtContent>
        </w:sdt>
        <w:r w:rsidR="00BE7D43">
          <w:t xml:space="preserve"> </w:t>
        </w:r>
        <w:sdt>
          <w:sdtPr>
            <w:id w:val="-1147820571"/>
            <w:dataBinding w:xpath="/Author/Workplaces/Workplace[AddressId = 'f03b5801-04c9-4931-aa17-c6d6c70bc579']/Office" w:storeItemID="{272DCEA4-7109-4B17-96D0-93B484ED1E2D}"/>
            <w:text w:multiLine="1"/>
          </w:sdtPr>
          <w:sdtEndPr/>
          <w:sdtContent>
            <w:r w:rsidR="00BE7D43">
              <w:t>SC11 05/060</w:t>
            </w:r>
          </w:sdtContent>
        </w:sdt>
        <w:r w:rsidR="00BE7D43">
          <w:t xml:space="preserve"> - </w:t>
        </w:r>
        <w:sdt>
          <w:sdtPr>
            <w:id w:val="-1528786256"/>
            <w:dataBinding w:xpath="/Texts/FooterPhone" w:storeItemID="{4EF90DE6-88B6-4264-9629-4D8DFDFE87D2}"/>
            <w:text w:multiLine="1"/>
          </w:sdtPr>
          <w:sdtEndPr/>
          <w:sdtContent>
            <w:r w:rsidR="00BE7D43">
              <w:t xml:space="preserve">Tél. direct </w:t>
            </w:r>
          </w:sdtContent>
        </w:sdt>
        <w:r w:rsidR="00BE7D43">
          <w:t xml:space="preserve"> </w:t>
        </w:r>
        <w:sdt>
          <w:sdtPr>
            <w:id w:val="-672257215"/>
            <w:dataBinding w:xpath="/Author/Workplaces/Workplace[AddressId = 'f03b5801-04c9-4931-aa17-c6d6c70bc579']/Phone" w:storeItemID="{272DCEA4-7109-4B17-96D0-93B484ED1E2D}"/>
            <w:text w:multiLine="1"/>
          </w:sdtPr>
          <w:sdtEndPr/>
          <w:sdtContent>
            <w:r w:rsidR="00BE7D43">
              <w:t>+32 229-69098</w:t>
            </w:r>
          </w:sdtContent>
        </w:sdt>
      </w:p>
      <w:p w:rsidR="00F8725A" w:rsidRDefault="00CB38A2">
        <w:pPr>
          <w:pStyle w:val="Footer"/>
          <w:rPr>
            <w:sz w:val="12"/>
          </w:rPr>
        </w:pPr>
      </w:p>
    </w:sdtContent>
  </w:sdt>
  <w:p w:rsidR="00F8725A" w:rsidRDefault="00CB38A2">
    <w:pPr>
      <w:pStyle w:val="Footer"/>
    </w:pPr>
    <w:sdt>
      <w:sdtPr>
        <w:alias w:val="Courriel:"/>
        <w:tag w:val="MjGgt6e7BqMZJMWY5fWzc6"/>
        <w:id w:val="-1486553397"/>
        <w:dataBinding w:xpath="/Author/Email" w:storeItemID="{272DCEA4-7109-4B17-96D0-93B484ED1E2D}"/>
        <w:text w:multiLine="1"/>
      </w:sdtPr>
      <w:sdtEndPr/>
      <w:sdtContent>
        <w:r w:rsidR="00BE7D43">
          <w:t>Stanislav.DEMIRDJIEV@ec.europa.eu</w:t>
        </w:r>
      </w:sdtContent>
    </w:sdt>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BE7D43">
    <w:pPr>
      <w:pStyle w:val="FooterLine"/>
      <w:jc w:val="center"/>
    </w:pPr>
    <w:r>
      <w:fldChar w:fldCharType="begin"/>
    </w:r>
    <w:r>
      <w:instrText>PAGE   \* MERGEFORMAT</w:instrText>
    </w:r>
    <w:r>
      <w:fldChar w:fldCharType="separate"/>
    </w:r>
    <w:r>
      <w:t>1</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BE7D43">
    <w:pPr>
      <w:pStyle w:val="FooterLine"/>
      <w:jc w:val="center"/>
    </w:pPr>
    <w:r>
      <w:fldChar w:fldCharType="begin"/>
    </w:r>
    <w:r>
      <w:instrText>PAGE   \* MERGEFORMAT</w:instrText>
    </w:r>
    <w:r>
      <w:fldChar w:fldCharType="separate"/>
    </w:r>
    <w:r w:rsidR="00B873CB">
      <w:rPr>
        <w:noProof/>
      </w:rPr>
      <w:t>98</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n-tête de la CE – Standard "/>
      <w:tag w:val="SVoGAZ38gakDmzcHmLly90-Uz5BECj2qQF70SGAMzDdI0"/>
      <w:id w:val="1271282425"/>
    </w:sdtPr>
    <w:sdtEndPr/>
    <w:sdtContent>
      <w:p w:rsidR="00F8725A" w:rsidRDefault="00F8725A">
        <w:pPr>
          <w:pStyle w:val="Footer"/>
          <w:rPr>
            <w:sz w:val="24"/>
          </w:rPr>
        </w:pPr>
      </w:p>
      <w:p w:rsidR="00F8725A" w:rsidRDefault="00CB38A2">
        <w:pPr>
          <w:pStyle w:val="Footer"/>
        </w:pPr>
        <w:sdt>
          <w:sdtPr>
            <w:id w:val="-1273159990"/>
            <w:dataBinding w:xpath="/Author/Addresses/Address[Id = 'f03b5801-04c9-4931-aa17-c6d6c70bc579']/Footer" w:storeItemID="{272DCEA4-7109-4B17-96D0-93B484ED1E2D}"/>
            <w:text w:multiLine="1"/>
          </w:sdtPr>
          <w:sdtEndPr/>
          <w:sdtContent>
            <w:r w:rsidR="00BE7D43">
              <w:t>Commission européenne, 1049 Bruxelles, BELGIQUE - Tél. +32 22991111</w:t>
            </w:r>
          </w:sdtContent>
        </w:sdt>
      </w:p>
      <w:p w:rsidR="00F8725A" w:rsidRDefault="00CB38A2">
        <w:pPr>
          <w:pStyle w:val="Footer"/>
        </w:pPr>
        <w:sdt>
          <w:sdtPr>
            <w:id w:val="-2132851918"/>
            <w:dataBinding w:xpath="/Texts/FooterOffice" w:storeItemID="{4EF90DE6-88B6-4264-9629-4D8DFDFE87D2}"/>
            <w:text w:multiLine="1"/>
          </w:sdtPr>
          <w:sdtEndPr/>
          <w:sdtContent>
            <w:r w:rsidR="00BE7D43">
              <w:t>Bureau:</w:t>
            </w:r>
          </w:sdtContent>
        </w:sdt>
        <w:r w:rsidR="00BE7D43">
          <w:t xml:space="preserve"> </w:t>
        </w:r>
        <w:sdt>
          <w:sdtPr>
            <w:id w:val="555824562"/>
            <w:dataBinding w:xpath="/Author/Workplaces/Workplace[AddressId = 'f03b5801-04c9-4931-aa17-c6d6c70bc579']/Office" w:storeItemID="{272DCEA4-7109-4B17-96D0-93B484ED1E2D}"/>
            <w:text w:multiLine="1"/>
          </w:sdtPr>
          <w:sdtEndPr/>
          <w:sdtContent>
            <w:r w:rsidR="00BE7D43">
              <w:t>SC11 05/060</w:t>
            </w:r>
          </w:sdtContent>
        </w:sdt>
        <w:r w:rsidR="00BE7D43">
          <w:t xml:space="preserve"> - </w:t>
        </w:r>
        <w:sdt>
          <w:sdtPr>
            <w:id w:val="1136060814"/>
            <w:dataBinding w:xpath="/Texts/FooterPhone" w:storeItemID="{4EF90DE6-88B6-4264-9629-4D8DFDFE87D2}"/>
            <w:text w:multiLine="1"/>
          </w:sdtPr>
          <w:sdtEndPr/>
          <w:sdtContent>
            <w:r w:rsidR="00BE7D43">
              <w:t xml:space="preserve">Tél. direct </w:t>
            </w:r>
          </w:sdtContent>
        </w:sdt>
        <w:r w:rsidR="00BE7D43">
          <w:t xml:space="preserve"> </w:t>
        </w:r>
        <w:sdt>
          <w:sdtPr>
            <w:id w:val="1406348445"/>
            <w:dataBinding w:xpath="/Author/Workplaces/Workplace[AddressId = 'f03b5801-04c9-4931-aa17-c6d6c70bc579']/Phone" w:storeItemID="{272DCEA4-7109-4B17-96D0-93B484ED1E2D}"/>
            <w:text w:multiLine="1"/>
          </w:sdtPr>
          <w:sdtEndPr/>
          <w:sdtContent>
            <w:r w:rsidR="00BE7D43">
              <w:t>+32 229-69098</w:t>
            </w:r>
          </w:sdtContent>
        </w:sdt>
      </w:p>
      <w:p w:rsidR="00F8725A" w:rsidRDefault="00CB38A2">
        <w:pPr>
          <w:pStyle w:val="Footer"/>
          <w:rPr>
            <w:sz w:val="12"/>
          </w:rPr>
        </w:pPr>
      </w:p>
    </w:sdtContent>
  </w:sdt>
  <w:p w:rsidR="00F8725A" w:rsidRDefault="00CB38A2">
    <w:pPr>
      <w:pStyle w:val="Footer"/>
    </w:pPr>
    <w:sdt>
      <w:sdtPr>
        <w:alias w:val="Courriel:"/>
        <w:tag w:val="MjGgt6e7BqMZJMWY5fWzc6"/>
        <w:id w:val="-878468769"/>
        <w:dataBinding w:xpath="/Author/Email" w:storeItemID="{272DCEA4-7109-4B17-96D0-93B484ED1E2D}"/>
        <w:text w:multiLine="1"/>
      </w:sdtPr>
      <w:sdtEndPr/>
      <w:sdtContent>
        <w:r w:rsidR="00BE7D43">
          <w:t>Stanislav.DEMIRDJIEV@ec.europa.eu</w:t>
        </w:r>
      </w:sdtContent>
    </w:sdt>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BE7D43">
    <w:pPr>
      <w:pStyle w:val="FooterLine"/>
      <w:jc w:val="center"/>
    </w:pPr>
    <w:r>
      <w:fldChar w:fldCharType="begin"/>
    </w:r>
    <w:r>
      <w:instrText>PAGE   \* MERGEFORMAT</w:instrText>
    </w:r>
    <w:r>
      <w:fldChar w:fldCharType="separate"/>
    </w:r>
    <w:r>
      <w:t>1</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BE7D43">
    <w:pPr>
      <w:pStyle w:val="FooterLine"/>
      <w:jc w:val="center"/>
    </w:pPr>
    <w:r>
      <w:fldChar w:fldCharType="begin"/>
    </w:r>
    <w:r>
      <w:instrText>PAGE   \* MERGEFORMAT</w:instrText>
    </w:r>
    <w:r>
      <w:fldChar w:fldCharType="separate"/>
    </w:r>
    <w:r w:rsidR="00B873CB">
      <w:rPr>
        <w:noProof/>
      </w:rPr>
      <w:t>106</w:t>
    </w:r>
    <w: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n-tête de la CE – Standard "/>
      <w:tag w:val="SVoGAZ38gakDmzcHmLly90-Uz5BECj2qQF70SGAMzDdI0"/>
      <w:id w:val="-1383169420"/>
    </w:sdtPr>
    <w:sdtEndPr/>
    <w:sdtContent>
      <w:p w:rsidR="00F8725A" w:rsidRDefault="00F8725A">
        <w:pPr>
          <w:pStyle w:val="Footer"/>
          <w:rPr>
            <w:sz w:val="24"/>
          </w:rPr>
        </w:pPr>
      </w:p>
      <w:p w:rsidR="00F8725A" w:rsidRDefault="00CB38A2">
        <w:pPr>
          <w:pStyle w:val="Footer"/>
        </w:pPr>
        <w:sdt>
          <w:sdtPr>
            <w:id w:val="-361368627"/>
            <w:dataBinding w:xpath="/Author/Addresses/Address[Id = 'f03b5801-04c9-4931-aa17-c6d6c70bc579']/Footer" w:storeItemID="{272DCEA4-7109-4B17-96D0-93B484ED1E2D}"/>
            <w:text w:multiLine="1"/>
          </w:sdtPr>
          <w:sdtEndPr/>
          <w:sdtContent>
            <w:r w:rsidR="00BE7D43">
              <w:t>Commission européenne, 1049 Bruxelles, BELGIQUE - Tél. +32 22991111</w:t>
            </w:r>
          </w:sdtContent>
        </w:sdt>
      </w:p>
      <w:p w:rsidR="00F8725A" w:rsidRDefault="00CB38A2">
        <w:pPr>
          <w:pStyle w:val="Footer"/>
        </w:pPr>
        <w:sdt>
          <w:sdtPr>
            <w:id w:val="1527898214"/>
            <w:dataBinding w:xpath="/Texts/FooterOffice" w:storeItemID="{4EF90DE6-88B6-4264-9629-4D8DFDFE87D2}"/>
            <w:text w:multiLine="1"/>
          </w:sdtPr>
          <w:sdtEndPr/>
          <w:sdtContent>
            <w:r w:rsidR="00BE7D43">
              <w:t>Bureau:</w:t>
            </w:r>
          </w:sdtContent>
        </w:sdt>
        <w:r w:rsidR="00BE7D43">
          <w:t xml:space="preserve"> </w:t>
        </w:r>
        <w:sdt>
          <w:sdtPr>
            <w:id w:val="377591962"/>
            <w:dataBinding w:xpath="/Author/Workplaces/Workplace[AddressId = 'f03b5801-04c9-4931-aa17-c6d6c70bc579']/Office" w:storeItemID="{272DCEA4-7109-4B17-96D0-93B484ED1E2D}"/>
            <w:text w:multiLine="1"/>
          </w:sdtPr>
          <w:sdtEndPr/>
          <w:sdtContent>
            <w:r w:rsidR="00BE7D43">
              <w:t>SC11 05/060</w:t>
            </w:r>
          </w:sdtContent>
        </w:sdt>
        <w:r w:rsidR="00BE7D43">
          <w:t xml:space="preserve"> - </w:t>
        </w:r>
        <w:sdt>
          <w:sdtPr>
            <w:id w:val="-1375844056"/>
            <w:dataBinding w:xpath="/Texts/FooterPhone" w:storeItemID="{4EF90DE6-88B6-4264-9629-4D8DFDFE87D2}"/>
            <w:text w:multiLine="1"/>
          </w:sdtPr>
          <w:sdtEndPr/>
          <w:sdtContent>
            <w:r w:rsidR="00BE7D43">
              <w:t xml:space="preserve">Tél. direct </w:t>
            </w:r>
          </w:sdtContent>
        </w:sdt>
        <w:r w:rsidR="00BE7D43">
          <w:t xml:space="preserve"> </w:t>
        </w:r>
        <w:sdt>
          <w:sdtPr>
            <w:id w:val="-441450371"/>
            <w:dataBinding w:xpath="/Author/Workplaces/Workplace[AddressId = 'f03b5801-04c9-4931-aa17-c6d6c70bc579']/Phone" w:storeItemID="{272DCEA4-7109-4B17-96D0-93B484ED1E2D}"/>
            <w:text w:multiLine="1"/>
          </w:sdtPr>
          <w:sdtEndPr/>
          <w:sdtContent>
            <w:r w:rsidR="00BE7D43">
              <w:t>+32 229-69098</w:t>
            </w:r>
          </w:sdtContent>
        </w:sdt>
      </w:p>
      <w:p w:rsidR="00F8725A" w:rsidRDefault="00CB38A2">
        <w:pPr>
          <w:pStyle w:val="Footer"/>
          <w:rPr>
            <w:sz w:val="12"/>
          </w:rPr>
        </w:pPr>
      </w:p>
    </w:sdtContent>
  </w:sdt>
  <w:p w:rsidR="00F8725A" w:rsidRDefault="00CB38A2">
    <w:pPr>
      <w:pStyle w:val="Footer"/>
    </w:pPr>
    <w:sdt>
      <w:sdtPr>
        <w:alias w:val="Courriel:"/>
        <w:tag w:val="MjGgt6e7BqMZJMWY5fWzc6"/>
        <w:id w:val="153270248"/>
        <w:dataBinding w:xpath="/Author/Email" w:storeItemID="{272DCEA4-7109-4B17-96D0-93B484ED1E2D}"/>
        <w:text w:multiLine="1"/>
      </w:sdtPr>
      <w:sdtEndPr/>
      <w:sdtContent>
        <w:r w:rsidR="00BE7D43">
          <w:t>Stanislav.DEMIRDJIEV@ec.europa.eu</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43" w:rsidRDefault="00BE7D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43" w:rsidRDefault="00BE7D43">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43" w:rsidRDefault="00BE7D43">
    <w:pPr>
      <w:pStyle w:val="FooterCover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BE7D43">
    <w:pPr>
      <w:pStyle w:val="FooterLine"/>
      <w:jc w:val="center"/>
    </w:pPr>
    <w:r>
      <w:fldChar w:fldCharType="begin"/>
    </w:r>
    <w:r>
      <w:instrText>PAGE   \* MERGEFORMAT</w:instrText>
    </w:r>
    <w:r>
      <w:fldChar w:fldCharType="separate"/>
    </w:r>
    <w: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BE7D43">
    <w:pPr>
      <w:pStyle w:val="FooterLine"/>
      <w:jc w:val="center"/>
    </w:pPr>
    <w:r>
      <w:fldChar w:fldCharType="begin"/>
    </w:r>
    <w:r>
      <w:instrText>PAGE   \* MERGEFORMAT</w:instrText>
    </w:r>
    <w:r>
      <w:fldChar w:fldCharType="separate"/>
    </w:r>
    <w:r w:rsidR="00B873CB">
      <w:rPr>
        <w:noProof/>
      </w:rPr>
      <w:t>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BE7D43">
    <w:pPr>
      <w:pStyle w:val="FooterLine"/>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A2" w:rsidRDefault="00CB38A2">
      <w:pPr>
        <w:spacing w:after="0"/>
      </w:pPr>
      <w:r>
        <w:separator/>
      </w:r>
    </w:p>
  </w:footnote>
  <w:footnote w:type="continuationSeparator" w:id="0">
    <w:p w:rsidR="00CB38A2" w:rsidRDefault="00CB38A2">
      <w:pPr>
        <w:spacing w:after="0"/>
      </w:pPr>
      <w:r>
        <w:continuationSeparator/>
      </w:r>
    </w:p>
  </w:footnote>
  <w:footnote w:id="1">
    <w:p w:rsidR="00F8725A" w:rsidRDefault="00BE7D43">
      <w:pPr>
        <w:pStyle w:val="FootnoteText"/>
      </w:pPr>
      <w:r>
        <w:rPr>
          <w:rStyle w:val="FootnoteReference"/>
        </w:rPr>
        <w:footnoteRef/>
      </w:r>
      <w:r>
        <w:t xml:space="preserve"> </w:t>
      </w:r>
      <w:r>
        <w:tab/>
        <w:t>Article 6 du statut concernant l’annexe I, section B, et le personnel AST/SC et AST en transition.</w:t>
      </w:r>
    </w:p>
  </w:footnote>
  <w:footnote w:id="2">
    <w:p w:rsidR="00F8725A" w:rsidRDefault="00BE7D43">
      <w:pPr>
        <w:pStyle w:val="FootnoteText"/>
      </w:pPr>
      <w:r>
        <w:rPr>
          <w:rStyle w:val="FootnoteReference"/>
        </w:rPr>
        <w:footnoteRef/>
      </w:r>
      <w:r>
        <w:t xml:space="preserve"> </w:t>
      </w:r>
      <w:r>
        <w:tab/>
        <w:t>La Commission prend régulièrement des décisions d’autorisation soumises à des conditions (comme l’interdiction de travailler sur des affaires spécifiques que traite le fonctionnaire au sein de la Commission). Une activité professionnelle extérieure qui implique des activités de lobbying et de défense d’intérêts visant la Commission et qui pourrait mener à l’existence, ou à la possibilité, d’un conflit avec les intérêts légitimes de la Commission doit être refusée. Chaque année, la Commission effectue environ 700 vérifications anti-conflits d’intérêt relatives à des activités professionnelles extérieures prévues durant un congé de convenance personnelle.</w:t>
      </w:r>
    </w:p>
  </w:footnote>
  <w:footnote w:id="3">
    <w:p w:rsidR="00F8725A" w:rsidRDefault="00BE7D43">
      <w:pPr>
        <w:pStyle w:val="FootnoteText"/>
      </w:pPr>
      <w:r>
        <w:rPr>
          <w:rStyle w:val="FootnoteReference"/>
        </w:rPr>
        <w:footnoteRef/>
      </w:r>
      <w:r>
        <w:t xml:space="preserve"> </w:t>
      </w:r>
      <w:r>
        <w:tab/>
        <w:t>En juin 2018, la Commission a adopté la décision C(2018) 4048 relative aux activités extérieures et aux mandats ainsi qu’aux activités professionnelles après la cessation de fonctions dans le but de clarifier davantage les critères utilisés par la Commission pour évaluer les activités exercées pendant et après le service. En outre, de nouvelles lignes directrices actualisées concernant les médias sociaux ont également été adoptées en 2019, afin de tenir compte des évolutions dans le contexte des médias sociaux et de fournir des indications, des orientations et des règles aux membres du personnel qui participent à ces plateformes à titre personnel.</w:t>
      </w:r>
    </w:p>
  </w:footnote>
  <w:footnote w:id="4">
    <w:p w:rsidR="00F8725A" w:rsidRDefault="00BE7D43">
      <w:pPr>
        <w:pStyle w:val="FootnoteText"/>
      </w:pPr>
      <w:r>
        <w:rPr>
          <w:rStyle w:val="FootnoteReference"/>
        </w:rPr>
        <w:footnoteRef/>
      </w:r>
      <w:r>
        <w:t xml:space="preserve"> </w:t>
      </w:r>
      <w:r>
        <w:tab/>
        <w:t>Rapport au Parlement européen et au Conseil en vertu de l’article 27 du statut des fonctionnaires de l’Union européenne et de l’article 12 du régime applicable aux autres agents de l’Union européenne (Équilibre géographique) du 15 juin 2018 et rectificatif technique du 24 août 2018 [COM(2018)377/2 final].</w:t>
      </w:r>
    </w:p>
  </w:footnote>
  <w:footnote w:id="5">
    <w:p w:rsidR="00F8725A" w:rsidRDefault="00BE7D43">
      <w:pPr>
        <w:pStyle w:val="FootnoteText"/>
      </w:pPr>
      <w:r>
        <w:rPr>
          <w:rStyle w:val="FootnoteReference"/>
        </w:rPr>
        <w:footnoteRef/>
      </w:r>
      <w:r>
        <w:t xml:space="preserve"> </w:t>
      </w:r>
      <w:r>
        <w:tab/>
        <w:t>Le Danemark, l’Allemagne, l’Irlande, la France, le Luxembourg, les Pays-Bas, l’Autriche, le Portugal, la Finlande et la Suède.</w:t>
      </w:r>
    </w:p>
  </w:footnote>
  <w:footnote w:id="6">
    <w:p w:rsidR="00F8725A" w:rsidRDefault="00BE7D43">
      <w:pPr>
        <w:pStyle w:val="FootnoteText"/>
      </w:pPr>
      <w:r>
        <w:rPr>
          <w:rStyle w:val="FootnoteReference"/>
        </w:rPr>
        <w:footnoteRef/>
      </w:r>
      <w:r>
        <w:t xml:space="preserve"> </w:t>
      </w:r>
      <w:r>
        <w:tab/>
        <w:t xml:space="preserve">Rapport spécial 23/2020 de la Cour des comptes: «Office européen de sélection du personnel: le moment est venu d’adapter le processus de sélection à des besoins de recrutement en pleine évolution», disponible </w:t>
      </w:r>
      <w:hyperlink r:id="rId1" w:history="1">
        <w:r>
          <w:rPr>
            <w:rStyle w:val="Hyperlink"/>
          </w:rPr>
          <w:t>ici</w:t>
        </w:r>
      </w:hyperlink>
      <w:r>
        <w:t>.</w:t>
      </w:r>
    </w:p>
  </w:footnote>
  <w:footnote w:id="7">
    <w:p w:rsidR="00F8725A" w:rsidRDefault="00BE7D43">
      <w:pPr>
        <w:pStyle w:val="FootnoteText"/>
      </w:pPr>
      <w:r>
        <w:rPr>
          <w:rStyle w:val="FootnoteReference"/>
        </w:rPr>
        <w:footnoteRef/>
      </w:r>
      <w:r>
        <w:t xml:space="preserve"> </w:t>
      </w:r>
      <w:r>
        <w:tab/>
        <w:t>Cela tient au fait qu’une grande partie des candidats sont déjà employés dans une institution de l’Union (un tiers) et qu’ils semblent mieux réussir les tests.</w:t>
      </w:r>
    </w:p>
  </w:footnote>
  <w:footnote w:id="8">
    <w:p w:rsidR="00F8725A" w:rsidRDefault="00BE7D43">
      <w:pPr>
        <w:pStyle w:val="FootnoteText"/>
        <w:rPr>
          <w:lang w:val="en-US"/>
        </w:rPr>
      </w:pPr>
      <w:r>
        <w:rPr>
          <w:rStyle w:val="FootnoteReference"/>
        </w:rPr>
        <w:footnoteRef/>
      </w:r>
      <w:r>
        <w:rPr>
          <w:lang w:val="en-US"/>
        </w:rPr>
        <w:t xml:space="preserve"> </w:t>
      </w:r>
      <w:r>
        <w:rPr>
          <w:lang w:val="en-US"/>
        </w:rPr>
        <w:tab/>
        <w:t xml:space="preserve">Rapports COM(2016) 832 final, COM(2017) 96 final, COM(2018) 38 final, COM(2019) 217 final, COM(2020) 634 final, COM(2021) 204 final. </w:t>
      </w:r>
    </w:p>
  </w:footnote>
  <w:footnote w:id="9">
    <w:p w:rsidR="00F8725A" w:rsidRDefault="00BE7D43">
      <w:pPr>
        <w:pStyle w:val="FootnoteText"/>
      </w:pPr>
      <w:r>
        <w:rPr>
          <w:rStyle w:val="FootnoteReference"/>
        </w:rPr>
        <w:footnoteRef/>
      </w:r>
      <w:r>
        <w:t xml:space="preserve"> </w:t>
      </w:r>
      <w:r>
        <w:tab/>
        <w:t xml:space="preserve">À la Commission, les indemnités d’astreinte sont principalement utilisées dans les domaines de la sécurité, des installations techniques et des services informatiques ainsi que dans l’assistance aux États membres 24 h/24 et 7 jours sur 7 (voir l’annexe 2). </w:t>
      </w:r>
    </w:p>
  </w:footnote>
  <w:footnote w:id="10">
    <w:p w:rsidR="00F8725A" w:rsidRDefault="00BE7D43">
      <w:pPr>
        <w:pStyle w:val="FootnoteText"/>
      </w:pPr>
      <w:r>
        <w:rPr>
          <w:rStyle w:val="FootnoteReference"/>
        </w:rPr>
        <w:footnoteRef/>
      </w:r>
      <w:r>
        <w:t xml:space="preserve"> </w:t>
      </w:r>
      <w:r>
        <w:tab/>
        <w:t>Cette indemnité est majoritairement utilisée dans les centres communs de recherche, la DG Énergie et l’Office pour les infrastructures et la logistique (OIB). L’utilisation de cette indemnité est liée à la protection individuelle et au caractère difficile du lieu et de la nature du travail (voir l’annexe 3).</w:t>
      </w:r>
    </w:p>
  </w:footnote>
  <w:footnote w:id="11">
    <w:p w:rsidR="00F8725A" w:rsidRDefault="00BE7D43">
      <w:pPr>
        <w:pStyle w:val="FootnoteText"/>
      </w:pPr>
      <w:r>
        <w:rPr>
          <w:rStyle w:val="FootnoteReference"/>
        </w:rPr>
        <w:footnoteRef/>
      </w:r>
      <w:r>
        <w:t xml:space="preserve"> </w:t>
      </w:r>
      <w:r>
        <w:tab/>
        <w:t>Cette augmentation du recours aux indemnités pour conditions de travail pénibles est due à la mise en service du nouveau bâtiment Europa du Conseil en 2016 et à la décision du Parlement d’accorder l’indemnité pour service continu ou par tours aux agents de sécurité et de prévention afin d’éviter une compensation des heures supplémentaires qui aurait eu une incidence budgétaire plus importante.</w:t>
      </w:r>
    </w:p>
  </w:footnote>
  <w:footnote w:id="12">
    <w:p w:rsidR="00F8725A" w:rsidRDefault="00BE7D43">
      <w:pPr>
        <w:pStyle w:val="FootnoteText"/>
      </w:pPr>
      <w:r>
        <w:rPr>
          <w:rStyle w:val="FootnoteReference"/>
        </w:rPr>
        <w:footnoteRef/>
      </w:r>
      <w:r>
        <w:t xml:space="preserve"> </w:t>
      </w:r>
      <w:r>
        <w:tab/>
        <w:t>Rapport de la Commission au Parlement européen et au Conseil en application de l’article 77 du statut des fonctionnaires – COM(2021) 94 final.</w:t>
      </w:r>
    </w:p>
  </w:footnote>
  <w:footnote w:id="13">
    <w:p w:rsidR="00F8725A" w:rsidRDefault="00BE7D43">
      <w:pPr>
        <w:pStyle w:val="FootnoteText"/>
      </w:pPr>
      <w:r>
        <w:rPr>
          <w:rStyle w:val="FootnoteReference"/>
        </w:rPr>
        <w:footnoteRef/>
      </w:r>
      <w:r>
        <w:t xml:space="preserve"> </w:t>
      </w:r>
      <w:r>
        <w:tab/>
        <w:t>Rapport de la Commission au Parlement européen et au Conseil sur l’application de l’annexe XI du statut et de son article 66 </w:t>
      </w:r>
      <w:r>
        <w:rPr>
          <w:i/>
          <w:iCs/>
        </w:rPr>
        <w:t>bis</w:t>
      </w:r>
      <w:r>
        <w:t xml:space="preserve"> - COM(2018) 830 final.</w:t>
      </w:r>
    </w:p>
  </w:footnote>
  <w:footnote w:id="14">
    <w:p w:rsidR="00F8725A" w:rsidRDefault="00BE7D43">
      <w:pPr>
        <w:pStyle w:val="FootnoteText"/>
      </w:pPr>
      <w:r>
        <w:rPr>
          <w:rStyle w:val="FootnoteReference"/>
        </w:rPr>
        <w:footnoteRef/>
      </w:r>
      <w:r>
        <w:t xml:space="preserve"> </w:t>
      </w:r>
      <w:r>
        <w:tab/>
        <w:t>Rapport de la Commission au Parlement européen et au Conseil sur l’application de l’annexe XII du statut - COM(2018) 829 final.</w:t>
      </w:r>
    </w:p>
  </w:footnote>
  <w:footnote w:id="15">
    <w:p w:rsidR="00F8725A" w:rsidRDefault="00BE7D43">
      <w:pPr>
        <w:pStyle w:val="FootnoteText"/>
      </w:pPr>
      <w:r>
        <w:rPr>
          <w:rStyle w:val="FootnoteReference"/>
        </w:rPr>
        <w:footnoteRef/>
      </w:r>
      <w:r>
        <w:t xml:space="preserve"> </w:t>
      </w:r>
      <w:r>
        <w:tab/>
        <w:t xml:space="preserve">Cela a été confirmé par la Cour des comptes européenne dans son rapport spécial nº 15/2019: </w:t>
      </w:r>
      <w:r>
        <w:rPr>
          <w:i/>
        </w:rPr>
        <w:t>Mise en œuvre, à la Commission, de la révision 2014 du statut et des mesures y afférentes – Des économies substantielles, mais non sans conséquences pour le personnel</w:t>
      </w:r>
      <w:r>
        <w:t>.</w:t>
      </w:r>
    </w:p>
  </w:footnote>
  <w:footnote w:id="16">
    <w:p w:rsidR="00F8725A" w:rsidRDefault="00BE7D43">
      <w:pPr>
        <w:pStyle w:val="FootnoteText"/>
      </w:pPr>
      <w:r>
        <w:rPr>
          <w:rStyle w:val="FootnoteReference"/>
        </w:rPr>
        <w:footnoteRef/>
      </w:r>
      <w:r>
        <w:t xml:space="preserve"> </w:t>
      </w:r>
      <w:r>
        <w:tab/>
        <w:t xml:space="preserve"> Rapport 2009-2015 de la Commission sur la situation financière du régime d’assurance contre le chômage en faveur des anciens agents temporaires ou contractuels et des assistants parlementaires se trouvant sans emploi après la cessation de leurs fonctions auprès d’une institution de l’Union européenne – COM(2016) 754 final; et rapport 2013-2018 de la Commission sur la situation financière du régime d’assurance contre le chômage en faveur des anciens agents temporaires ou contractuels et des assistants parlementaires se trouvant sans emploi après la cessation de leurs fonctions auprès d’une institution de l’Union européenne.</w:t>
      </w:r>
    </w:p>
  </w:footnote>
  <w:footnote w:id="17">
    <w:p w:rsidR="00F8725A" w:rsidRDefault="00BE7D43">
      <w:pPr>
        <w:pStyle w:val="FootnoteText"/>
      </w:pPr>
      <w:r>
        <w:rPr>
          <w:rStyle w:val="FootnoteReference"/>
        </w:rPr>
        <w:footnoteRef/>
      </w:r>
      <w:r>
        <w:t xml:space="preserve"> </w:t>
      </w:r>
      <w:r>
        <w:tab/>
        <w:t>La réserve du fonds est passée de 16 millions d’euros en 2009 à seulement 2 millions d’euros en 2015.</w:t>
      </w:r>
    </w:p>
  </w:footnote>
  <w:footnote w:id="18">
    <w:p w:rsidR="00F8725A" w:rsidRDefault="00BE7D43">
      <w:pPr>
        <w:pStyle w:val="FootnoteText"/>
      </w:pPr>
      <w:r>
        <w:rPr>
          <w:rStyle w:val="FootnoteReference"/>
        </w:rPr>
        <w:footnoteRef/>
      </w:r>
      <w:r>
        <w:t xml:space="preserve"> </w:t>
      </w:r>
      <w:r>
        <w:tab/>
        <w:t>La réserve du fonds a atteint 28 millions d’euros à la fin de 2018.</w:t>
      </w:r>
    </w:p>
  </w:footnote>
  <w:footnote w:id="19">
    <w:p w:rsidR="00F8725A" w:rsidRDefault="00BE7D43">
      <w:pPr>
        <w:pStyle w:val="FootnoteText"/>
      </w:pPr>
      <w:r>
        <w:rPr>
          <w:rStyle w:val="FootnoteReference"/>
        </w:rPr>
        <w:footnoteRef/>
      </w:r>
      <w:r>
        <w:t xml:space="preserve"> </w:t>
      </w:r>
      <w:r>
        <w:tab/>
        <w:t>Décision de la Commission du 16.10.2017 relative aux dispositions générales d’exécution de l’article 79, paragraphe 2, du régime applicable aux autres agents de l’Union européenne, régissant les conditions d’emploi des agents contractuels engagés par la Commission en vertu des articles 3 </w:t>
      </w:r>
      <w:r>
        <w:rPr>
          <w:i/>
        </w:rPr>
        <w:t>bis</w:t>
      </w:r>
      <w:r>
        <w:t xml:space="preserve"> et 3 </w:t>
      </w:r>
      <w:r>
        <w:rPr>
          <w:i/>
        </w:rPr>
        <w:t>ter</w:t>
      </w:r>
      <w:r>
        <w:t xml:space="preserve"> dudit régime, C(2017) 6760.</w:t>
      </w:r>
    </w:p>
  </w:footnote>
  <w:footnote w:id="20">
    <w:p w:rsidR="00F8725A" w:rsidRDefault="00BE7D43">
      <w:pPr>
        <w:pStyle w:val="FootnoteText"/>
      </w:pPr>
      <w:r>
        <w:rPr>
          <w:rStyle w:val="FootnoteReference"/>
        </w:rPr>
        <w:footnoteRef/>
      </w:r>
      <w:r>
        <w:t xml:space="preserve"> </w:t>
      </w:r>
      <w:r>
        <w:tab/>
        <w:t>En vertu de l’article 13, paragraphe 1, de la décision de la Commission C(2017) 6760 «en application de l’article 87, paragraphe 4, du RAA, un AC 3</w:t>
      </w:r>
      <w:r>
        <w:rPr>
          <w:i/>
        </w:rPr>
        <w:t>bis</w:t>
      </w:r>
      <w:r>
        <w:t xml:space="preserve"> accède à un groupe de fonctions plus élevé en participant à une procédure générale de sélection».</w:t>
      </w:r>
    </w:p>
  </w:footnote>
  <w:footnote w:id="21">
    <w:p w:rsidR="00F8725A" w:rsidRDefault="00BE7D43">
      <w:pPr>
        <w:pStyle w:val="FootnoteText"/>
      </w:pPr>
      <w:r>
        <w:rPr>
          <w:rStyle w:val="FootnoteReference"/>
        </w:rPr>
        <w:footnoteRef/>
      </w:r>
      <w:r>
        <w:t xml:space="preserve"> </w:t>
      </w:r>
      <w:r>
        <w:tab/>
        <w:t>À Luxembourg, au cours de l’exercice de 2019, 25 agents contractuels qui exécutaient des tâches correspondant à un groupe de fonctions plus élevé ont accédé au groupe de fonctions approprié. Ces changements ont eu lieu dans tous les groupes de fonctions. Un exercice similaire a été lancé en 2020 pour faire spécifiquement face à la situation des coordinateurs éducatifs à l’Office pour les infrastructures et la logistique à Luxembourg afin de s’assurer que leur groupe de fonctions correspond aux tâches réellement exécutées. Un autre exercice limité aux profils du groupe de fonctions I est sur le point d’être lancé pour l’Office pour les infrastructures et la logistique à Bruxelles et à Luxembourg.</w:t>
      </w:r>
    </w:p>
  </w:footnote>
  <w:footnote w:id="22">
    <w:p w:rsidR="00F8725A" w:rsidRDefault="00BE7D43">
      <w:pPr>
        <w:pStyle w:val="FootnoteText"/>
        <w:ind w:left="187" w:hanging="187"/>
      </w:pPr>
      <w:r>
        <w:rPr>
          <w:rStyle w:val="FootnoteReference"/>
        </w:rPr>
        <w:footnoteRef/>
      </w:r>
      <w:r>
        <w:t xml:space="preserve"> Les chiffres figurant aux annexes 14 et 15 présentent les taux de promotion. En général, pour les grades à la population stable qui ont atteint une vitesse de croisière, il existe un lien entre ces taux et le temps passé dans le grade.</w:t>
      </w:r>
    </w:p>
  </w:footnote>
  <w:footnote w:id="23">
    <w:p w:rsidR="00F8725A" w:rsidRDefault="00BE7D43">
      <w:pPr>
        <w:pStyle w:val="FootnoteText"/>
      </w:pPr>
      <w:r>
        <w:rPr>
          <w:rStyle w:val="FootnoteReference"/>
        </w:rPr>
        <w:footnoteRef/>
      </w:r>
      <w:r>
        <w:t xml:space="preserve"> </w:t>
      </w:r>
      <w:r>
        <w:tab/>
        <w:t>Avec une variation positive ou négative de 2 % au maximum.</w:t>
      </w:r>
    </w:p>
  </w:footnote>
  <w:footnote w:id="24">
    <w:p w:rsidR="00F8725A" w:rsidRDefault="00BE7D43">
      <w:pPr>
        <w:pStyle w:val="FootnoteText"/>
      </w:pPr>
      <w:r>
        <w:rPr>
          <w:rStyle w:val="FootnoteReference"/>
        </w:rPr>
        <w:footnoteRef/>
      </w:r>
      <w:r>
        <w:t xml:space="preserve"> </w:t>
      </w:r>
      <w:r>
        <w:tab/>
        <w:t>À la seule exception de l’année 2019.</w:t>
      </w:r>
    </w:p>
  </w:footnote>
  <w:footnote w:id="25">
    <w:p w:rsidR="00F8725A" w:rsidRDefault="00BE7D43">
      <w:pPr>
        <w:pStyle w:val="FootnoteText"/>
      </w:pPr>
      <w:r>
        <w:rPr>
          <w:rStyle w:val="FootnoteReference"/>
        </w:rPr>
        <w:footnoteRef/>
      </w:r>
      <w:r>
        <w:t xml:space="preserve"> </w:t>
      </w:r>
      <w:r>
        <w:tab/>
        <w:t xml:space="preserve">Rapport au Parlement européen et au Conseil sur l’équivalence entre l’ancienne et la nouvelle structure des carrières, du 30.3.2011, COM(2011) 171 final. </w:t>
      </w:r>
    </w:p>
  </w:footnote>
  <w:footnote w:id="26">
    <w:p w:rsidR="00F8725A" w:rsidRDefault="00BE7D43">
      <w:pPr>
        <w:pStyle w:val="FootnoteText"/>
      </w:pPr>
      <w:r>
        <w:rPr>
          <w:rStyle w:val="FootnoteReference"/>
        </w:rPr>
        <w:footnoteRef/>
      </w:r>
      <w:r>
        <w:t xml:space="preserve"> </w:t>
      </w:r>
      <w:r>
        <w:tab/>
        <w:t>La réforme de 2014 a limité l’accès aux deux derniers grades de la carrière hors encadrement (AD 13-AD 14) aux conseillers et aux experts confirmés.</w:t>
      </w:r>
    </w:p>
  </w:footnote>
  <w:footnote w:id="27">
    <w:p w:rsidR="00F8725A" w:rsidRDefault="00BE7D43">
      <w:pPr>
        <w:pStyle w:val="FootnoteText"/>
      </w:pPr>
      <w:r>
        <w:rPr>
          <w:rStyle w:val="FootnoteReference"/>
        </w:rPr>
        <w:footnoteRef/>
      </w:r>
      <w:r>
        <w:t xml:space="preserve"> </w:t>
      </w:r>
      <w:r>
        <w:tab/>
        <w:t>Une description des emplois types en transition est présentée à l’annexe 16.</w:t>
      </w:r>
    </w:p>
  </w:footnote>
  <w:footnote w:id="28">
    <w:p w:rsidR="00F8725A" w:rsidRDefault="00BE7D43">
      <w:pPr>
        <w:pStyle w:val="FootnoteText"/>
      </w:pPr>
      <w:r>
        <w:rPr>
          <w:rStyle w:val="FootnoteReference"/>
        </w:rPr>
        <w:footnoteRef/>
      </w:r>
      <w:r>
        <w:t xml:space="preserve"> </w:t>
      </w:r>
      <w:r>
        <w:tab/>
        <w:t>L’article 13, paragraphe 3, de l’annexe VII, du statut prévoit un réexamen bisannuel par voie d’un acte délégué concernant les taux de remboursement des frais de mission, à savoir l’indemnité journalière et les plafonds des frais d’hébergement (hôtel).</w:t>
      </w:r>
    </w:p>
  </w:footnote>
  <w:footnote w:id="29">
    <w:p w:rsidR="00F8725A" w:rsidRDefault="00BE7D43">
      <w:pPr>
        <w:pStyle w:val="FootnoteText"/>
      </w:pPr>
      <w:r>
        <w:rPr>
          <w:rStyle w:val="FootnoteReference"/>
        </w:rPr>
        <w:footnoteRef/>
      </w:r>
      <w:r>
        <w:t xml:space="preserve"> </w:t>
      </w:r>
      <w:r>
        <w:tab/>
        <w:t>Annexée à l’accord interinstitutionnel «Mieux légiférer» signé le 13 avril 2016.</w:t>
      </w:r>
    </w:p>
  </w:footnote>
  <w:footnote w:id="30">
    <w:p w:rsidR="00F8725A" w:rsidRDefault="00BE7D43">
      <w:pPr>
        <w:pStyle w:val="FootnoteText"/>
      </w:pPr>
      <w:r>
        <w:rPr>
          <w:rStyle w:val="FootnoteReference"/>
        </w:rPr>
        <w:footnoteRef/>
      </w:r>
      <w:r>
        <w:t xml:space="preserve"> </w:t>
      </w:r>
      <w:r>
        <w:tab/>
        <w:t>Règlement délégué (UE) 2016/1611 de la Commission du 7 juillet 2016 portant sur le réexamen du barème applicable aux missions des fonctionnaires et autres agents de l’Union européenne dans les États membres.</w:t>
      </w:r>
    </w:p>
  </w:footnote>
  <w:footnote w:id="31">
    <w:p w:rsidR="00F8725A" w:rsidRDefault="00BE7D43">
      <w:pPr>
        <w:pStyle w:val="FootnoteText"/>
      </w:pPr>
      <w:r>
        <w:rPr>
          <w:rStyle w:val="FootnoteReference"/>
        </w:rPr>
        <w:footnoteRef/>
      </w:r>
      <w:r>
        <w:t xml:space="preserve"> </w:t>
      </w:r>
      <w:r>
        <w:tab/>
        <w:t>Le règlement (UE, Euratom) nº 1023/2013 du Parlement européen et du Conseil du 22 octobre 2013 a modifié le mécanisme de réexamen en prévoyant un acte délégué (articles 111 et 112 du statut).</w:t>
      </w:r>
    </w:p>
  </w:footnote>
  <w:footnote w:id="32">
    <w:p w:rsidR="00F8725A" w:rsidRDefault="00BE7D43">
      <w:pPr>
        <w:pStyle w:val="FootnoteText"/>
      </w:pPr>
      <w:r>
        <w:rPr>
          <w:rStyle w:val="FootnoteReference"/>
        </w:rPr>
        <w:footnoteRef/>
      </w:r>
      <w:r>
        <w:t xml:space="preserve"> </w:t>
      </w:r>
      <w:r>
        <w:tab/>
        <w:t>Le dernier réexamen avait été réalisé au moyen de règlements du Conseil en 2006 (pour les États membres de l’EU-25).</w:t>
      </w:r>
    </w:p>
  </w:footnote>
  <w:footnote w:id="33">
    <w:p w:rsidR="00F8725A" w:rsidRDefault="00BE7D43">
      <w:pPr>
        <w:pStyle w:val="FootnoteText"/>
      </w:pPr>
      <w:r>
        <w:rPr>
          <w:rStyle w:val="FootnoteReference"/>
        </w:rPr>
        <w:footnoteRef/>
      </w:r>
      <w:r>
        <w:t xml:space="preserve"> </w:t>
      </w:r>
      <w:r>
        <w:tab/>
        <w:t xml:space="preserve"> Comme indiqué à la section 3.1.4, la Commission a envisagé, en 2017, une augmentation limitée des contributions au régime d’assurance contre le chômage par voie d’un acte délégué, conformément à l’article 28 </w:t>
      </w:r>
      <w:r>
        <w:rPr>
          <w:i/>
        </w:rPr>
        <w:t>bis</w:t>
      </w:r>
      <w:r>
        <w:t>, paragraphe 11, et à l’article 96, paragraphe 11, du RAA, afin d’assurer l’équilibre financier du régime.</w:t>
      </w:r>
    </w:p>
  </w:footnote>
  <w:footnote w:id="34">
    <w:p w:rsidR="00F8725A" w:rsidRDefault="00BE7D43">
      <w:pPr>
        <w:pStyle w:val="FootnoteText"/>
      </w:pPr>
      <w:r>
        <w:rPr>
          <w:rStyle w:val="FootnoteReference"/>
        </w:rPr>
        <w:footnoteRef/>
      </w:r>
      <w:r>
        <w:t xml:space="preserve"> </w:t>
      </w:r>
      <w:r>
        <w:tab/>
        <w:t>Un certain nombre de mécanismes sont en place pour assurer une application uniforme du statut et du RAA dans l’ensemble des institutions et des agences, tels que le recours aux règles arrêtées d’un commun accord entre les institutions, la possibilité d’habiliter une institution à adopter des dispositions générales d’exécution applicables à toutes les institutions, la consultation obligatoire du comité du statut ou des mécanismes spécifiques applicables aux agences.</w:t>
      </w:r>
    </w:p>
  </w:footnote>
  <w:footnote w:id="35">
    <w:p w:rsidR="00F8725A" w:rsidRDefault="00BE7D43">
      <w:pPr>
        <w:pStyle w:val="FootnoteText"/>
      </w:pPr>
      <w:r>
        <w:rPr>
          <w:rStyle w:val="FootnoteReference"/>
        </w:rPr>
        <w:footnoteRef/>
      </w:r>
      <w:r>
        <w:t xml:space="preserve"> </w:t>
      </w:r>
      <w:r>
        <w:tab/>
        <w:t>Rapport de la Commission au Parlement européen et au Conseil sur les règles d’exécution du statut des fonctionnaires adoptées par l’autorité investie du pouvoir de nomination de chaque institution – COM(2021) 258.</w:t>
      </w:r>
    </w:p>
  </w:footnote>
  <w:footnote w:id="36">
    <w:p w:rsidR="00F8725A" w:rsidRDefault="00BE7D43">
      <w:pPr>
        <w:pStyle w:val="FootnoteText"/>
      </w:pPr>
      <w:r>
        <w:rPr>
          <w:rStyle w:val="FootnoteReference"/>
        </w:rPr>
        <w:footnoteRef/>
      </w:r>
      <w:r>
        <w:t xml:space="preserve"> </w:t>
      </w:r>
      <w:r>
        <w:tab/>
        <w:t xml:space="preserve">Pour plus de détails, voir communication C(2014) 6543 final du 26 septembre 2014 du Vice-président M. ŠEFČOVIČ à la Commission sur les lignes directrices relatives à la mise en œuvre de l’article 110, paragraphe 2, du statut en ce qui concerne les règles d’exécution du statut applicables dans les agences, et décision C(2014) 7229 final de la Commission du 8 octobre 2014 relative à l’exercice de certaines compétences en ce qui concerne l’accord de la Commission à donner aux agences avant l’adoption de règles d’exécution du statut conformément à l’article 110, paragraphe 2, du statut. Voir également le rapport de la Commission sur les règles d’exécution du statut des fonctionnaires adoptées par l’autorité investie du pouvoir de nomination de chaque institution – COM(2017) 632 final. </w:t>
      </w:r>
    </w:p>
  </w:footnote>
  <w:footnote w:id="37">
    <w:p w:rsidR="00F8725A" w:rsidRDefault="00BE7D43">
      <w:pPr>
        <w:pStyle w:val="FootnoteText"/>
      </w:pPr>
      <w:r>
        <w:rPr>
          <w:rStyle w:val="FootnoteReference"/>
        </w:rPr>
        <w:footnoteRef/>
      </w:r>
      <w:r>
        <w:t xml:space="preserve"> </w:t>
      </w:r>
      <w:r>
        <w:tab/>
        <w:t xml:space="preserve">Ce mécanisme a été utilisé pour l’adoption des règles d’exécution relatives à l’engagement des agents temporaires au titre de l’article 2, point f), du RAA. </w:t>
      </w:r>
    </w:p>
  </w:footnote>
  <w:footnote w:id="38">
    <w:p w:rsidR="00F8725A" w:rsidRDefault="00BE7D43">
      <w:pPr>
        <w:pStyle w:val="FootnoteText"/>
      </w:pPr>
      <w:r>
        <w:rPr>
          <w:rStyle w:val="FootnoteReference"/>
        </w:rPr>
        <w:footnoteRef/>
      </w:r>
      <w:r>
        <w:t xml:space="preserve"> </w:t>
      </w:r>
      <w:r>
        <w:tab/>
        <w:t>En outre, la Cour des comptes européenne a adopté, en octobre 2020, le rapport spécial 23/2020: «</w:t>
      </w:r>
      <w:r>
        <w:rPr>
          <w:i/>
        </w:rPr>
        <w:t>Office européen de sélection du personnel: le moment est venu d’adapter le processus de sélection à des besoins de recrutement en pleine évolution</w:t>
      </w:r>
      <w:r>
        <w:t>» et le rapport spécial 22/2020: «</w:t>
      </w:r>
      <w:r>
        <w:rPr>
          <w:i/>
        </w:rPr>
        <w:t>L’avenir des agences de l’UE – La souplesse et la coopération pourraient être renforcées</w:t>
      </w:r>
      <w:r>
        <w:t xml:space="preserve">». </w:t>
      </w:r>
    </w:p>
  </w:footnote>
  <w:footnote w:id="39">
    <w:p w:rsidR="00F8725A" w:rsidRDefault="00BE7D43">
      <w:pPr>
        <w:pStyle w:val="FootnoteText"/>
      </w:pPr>
      <w:r>
        <w:rPr>
          <w:rStyle w:val="FootnoteReference"/>
        </w:rPr>
        <w:footnoteRef/>
      </w:r>
      <w:r>
        <w:t xml:space="preserve"> </w:t>
      </w:r>
      <w:r>
        <w:tab/>
        <w:t xml:space="preserve">En 2017, la Cour des comptes européenne a adopté une étude de cas rapide sur la réduction des effectifs de 5 % qui ne relève pas du présent rapport. </w:t>
      </w:r>
    </w:p>
  </w:footnote>
  <w:footnote w:id="40">
    <w:p w:rsidR="00F8725A" w:rsidRDefault="00BE7D43">
      <w:pPr>
        <w:pStyle w:val="FootnoteText"/>
      </w:pPr>
      <w:r>
        <w:rPr>
          <w:rStyle w:val="FootnoteReference"/>
        </w:rPr>
        <w:footnoteRef/>
      </w:r>
      <w:r>
        <w:t xml:space="preserve"> </w:t>
      </w:r>
      <w:r>
        <w:tab/>
        <w:t>Le statut et les fonctions du Médiateur ont été précisés dans une décision du Parlement du 9 mars 1994 prise après avis de la Commission et approbation du Conseil. Le Médiateur européen vise à améliorer la protection des citoyens en cas de mauvaise administration dans l’action des institutions, organes ou organismes de l’Union; et à renforcer, de cette façon, l’ouverture et le contrôle démocratique dans le processus décisionnel et l’administration des institutions de l’Union.</w:t>
      </w:r>
    </w:p>
  </w:footnote>
  <w:footnote w:id="41">
    <w:p w:rsidR="00F8725A" w:rsidRDefault="00BE7D43">
      <w:pPr>
        <w:pStyle w:val="FootnoteText"/>
      </w:pPr>
      <w:r>
        <w:rPr>
          <w:rStyle w:val="FootnoteReference"/>
        </w:rPr>
        <w:footnoteRef/>
      </w:r>
      <w:r>
        <w:t xml:space="preserve"> </w:t>
      </w:r>
      <w:r>
        <w:tab/>
        <w:t>https://www.ombudsman.europa.eu/fr/correspondence/en/119782.</w:t>
      </w:r>
    </w:p>
  </w:footnote>
  <w:footnote w:id="42">
    <w:p w:rsidR="00F8725A" w:rsidRDefault="00BE7D43">
      <w:pPr>
        <w:pStyle w:val="FootnoteText"/>
      </w:pPr>
      <w:r>
        <w:rPr>
          <w:rStyle w:val="FootnoteReference"/>
        </w:rPr>
        <w:footnoteRef/>
      </w:r>
      <w:r>
        <w:t xml:space="preserve"> </w:t>
      </w:r>
      <w:r>
        <w:tab/>
        <w:t xml:space="preserve">À la suite des recommandations formulées dans la décharge 2018 concernant le renforcement de l’égalité entre les hommes et les femmes aux postes de direction, la Commission a adopté, le 5 mars 2020, sa communication intitulée «Une Union de l’égalité: stratégie en faveur de l’égalité entre les hommes et les femmes 2020-2025» – </w:t>
      </w:r>
      <w:hyperlink r:id="rId2" w:history="1">
        <w:r>
          <w:t>COM(2020) 152 final</w:t>
        </w:r>
      </w:hyperlink>
      <w:r>
        <w:t>. De la même manière, la recommandation concernant la garantie d'une protection adéquate, de la confidentialité et de l’anonymat pour les lanceurs d’alerte a donné lieu à la décision (UE) </w:t>
      </w:r>
      <w:hyperlink r:id="rId3" w:history="1">
        <w:r>
          <w:t>2019/165</w:t>
        </w:r>
      </w:hyperlink>
      <w:r>
        <w:t xml:space="preserve"> de la Commission concernant le traitement des données à caractère personnel dans le contexte des enquêtes administratives, des procédures pré-disciplinaires et disciplinaires et des procédures de suspension.</w:t>
      </w:r>
    </w:p>
  </w:footnote>
  <w:footnote w:id="43">
    <w:p w:rsidR="00F8725A" w:rsidRDefault="00BE7D43">
      <w:pPr>
        <w:pStyle w:val="FootnoteText"/>
      </w:pPr>
      <w:r>
        <w:rPr>
          <w:rStyle w:val="FootnoteReference"/>
        </w:rPr>
        <w:footnoteRef/>
      </w:r>
      <w:r>
        <w:t xml:space="preserve"> </w:t>
      </w:r>
      <w:r>
        <w:tab/>
        <w:t>Document 7515/00 + COR 1 du Conseil.</w:t>
      </w:r>
    </w:p>
  </w:footnote>
  <w:footnote w:id="44">
    <w:p w:rsidR="00F8725A" w:rsidRDefault="00BE7D43">
      <w:pPr>
        <w:pStyle w:val="FootnoteText"/>
      </w:pPr>
      <w:r>
        <w:rPr>
          <w:rStyle w:val="FootnoteReference"/>
        </w:rPr>
        <w:footnoteRef/>
      </w:r>
      <w:r>
        <w:t xml:space="preserve"> </w:t>
      </w:r>
      <w:r>
        <w:tab/>
        <w:t xml:space="preserve">Les conclusions adoptées par le Conseil expriment une position politique sur un sujet lié aux domaines d’activité de l’Union européenne. Ces conclusions ne sont pas prévues par les traités. Par conséquent, elles ne sont pas juridiquement contraignantes. Elles informent simplement les autres institutions de la position politique du Conseil.  </w:t>
      </w:r>
    </w:p>
  </w:footnote>
  <w:footnote w:id="45">
    <w:p w:rsidR="00F8725A" w:rsidRDefault="00BE7D43">
      <w:pPr>
        <w:pStyle w:val="FootnoteText"/>
      </w:pPr>
      <w:r>
        <w:rPr>
          <w:rStyle w:val="FootnoteReference"/>
        </w:rPr>
        <w:footnoteRef/>
      </w:r>
      <w:r>
        <w:t xml:space="preserve"> </w:t>
      </w:r>
      <w:r>
        <w:tab/>
        <w:t>Rapport spécial nº 13/2019 de la Cour des comptes européenne intitulé «Les cadres éthiques des institutions de l’UE auditées: des améliorations sont possibles» et rapport spécial nº 15/2019 intitulé «Mise en œuvre, à la Commission, de la révision 2014 du statut et des mesures y afférentes – Des économies substantielles, mais non sans conséquences pour le personnel». D’autres conclusions du Conseil ont été adoptées à la suite de la publication par Eurostat d’une étude sur les incidences budgétaires à long terme du coût des pensions.</w:t>
      </w:r>
    </w:p>
  </w:footnote>
  <w:footnote w:id="46">
    <w:p w:rsidR="00F8725A" w:rsidRDefault="00BE7D43">
      <w:pPr>
        <w:pStyle w:val="FootnoteText"/>
      </w:pPr>
      <w:r>
        <w:rPr>
          <w:rStyle w:val="FootnoteReference"/>
        </w:rPr>
        <w:footnoteRef/>
      </w:r>
      <w:r>
        <w:t xml:space="preserve"> </w:t>
      </w:r>
      <w:r>
        <w:tab/>
        <w:t>Conclusions du Conseil sur le rapport spécial nº 13/2019 de la Cour des comptes européenne intitulé «Les cadres éthiques des institutions de l’UE auditées: des améliorations sont possibles».</w:t>
      </w:r>
    </w:p>
  </w:footnote>
  <w:footnote w:id="47">
    <w:p w:rsidR="00F8725A" w:rsidRDefault="00BE7D43">
      <w:pPr>
        <w:pStyle w:val="FootnoteText"/>
      </w:pPr>
      <w:r>
        <w:rPr>
          <w:rStyle w:val="FootnoteReference"/>
        </w:rPr>
        <w:footnoteRef/>
      </w:r>
      <w:r>
        <w:t xml:space="preserve"> </w:t>
      </w:r>
      <w:r>
        <w:tab/>
        <w:t xml:space="preserve">Conclusions du Conseil sur le rapport spécial nº 15/2019 de la Cour des comptes européenne intitulé «Mise en œuvre, à la Commission, de la révision 2014 du statut et des mesures y afférentes – Des économies substantielles, mais non sans conséquences pour le personnel». </w:t>
      </w:r>
    </w:p>
  </w:footnote>
  <w:footnote w:id="48">
    <w:p w:rsidR="00F8725A" w:rsidRDefault="00BE7D43">
      <w:pPr>
        <w:pStyle w:val="FootnoteText"/>
      </w:pPr>
      <w:r>
        <w:rPr>
          <w:rStyle w:val="FootnoteReference"/>
        </w:rPr>
        <w:footnoteRef/>
      </w:r>
      <w:r>
        <w:t xml:space="preserve"> </w:t>
      </w:r>
      <w:r>
        <w:tab/>
        <w:t>Conclusions du conseil relatives à l’étude d’Eurostat sur les incidences budgétaires à long terme du coût des pensions de l’UE.</w:t>
      </w:r>
    </w:p>
  </w:footnote>
  <w:footnote w:id="49">
    <w:p w:rsidR="00F8725A" w:rsidRDefault="00BE7D43">
      <w:pPr>
        <w:pStyle w:val="FootnoteText"/>
      </w:pPr>
      <w:r>
        <w:rPr>
          <w:rStyle w:val="FootnoteReference"/>
        </w:rPr>
        <w:footnoteRef/>
      </w:r>
      <w:r>
        <w:t xml:space="preserve"> </w:t>
      </w:r>
      <w:r>
        <w:tab/>
        <w:t>Prévu à l’article 4, paragraphe 3, du TUE.</w:t>
      </w:r>
    </w:p>
  </w:footnote>
  <w:footnote w:id="50">
    <w:p w:rsidR="00F8725A" w:rsidRDefault="00BE7D43">
      <w:pPr>
        <w:pStyle w:val="FootnoteText"/>
      </w:pPr>
      <w:r>
        <w:rPr>
          <w:rStyle w:val="FootnoteReference"/>
        </w:rPr>
        <w:footnoteRef/>
      </w:r>
      <w:r>
        <w:t xml:space="preserve"> </w:t>
      </w:r>
      <w:r>
        <w:tab/>
        <w:t>Règlement (UE, Euratom) nº 1023/2013 du Parlement européen et du Conseil du 22 octobre 2013 modifiant le statut des fonctionnaires de l’Union européenne et le régime applicable aux autres agents de l’Union européenne (JO L 287 du 29.10.2013, p. 15).</w:t>
      </w:r>
    </w:p>
  </w:footnote>
  <w:footnote w:id="51">
    <w:p w:rsidR="00F8725A" w:rsidRDefault="00BE7D43">
      <w:pPr>
        <w:pStyle w:val="FootnoteText"/>
      </w:pPr>
      <w:r>
        <w:rPr>
          <w:rStyle w:val="FootnoteReference"/>
        </w:rPr>
        <w:footnoteRef/>
      </w:r>
      <w:r>
        <w:t xml:space="preserve"> </w:t>
      </w:r>
      <w:r>
        <w:tab/>
        <w:t>Article 263 du TFUE.</w:t>
      </w:r>
    </w:p>
  </w:footnote>
  <w:footnote w:id="52">
    <w:p w:rsidR="00F8725A" w:rsidRDefault="00BE7D43">
      <w:pPr>
        <w:pStyle w:val="FootnoteText"/>
      </w:pPr>
      <w:r>
        <w:rPr>
          <w:rStyle w:val="FootnoteReference"/>
          <w:sz w:val="16"/>
        </w:rPr>
        <w:footnoteRef/>
      </w:r>
      <w:r>
        <w:t xml:space="preserve"> </w:t>
      </w:r>
      <w:r>
        <w:rPr>
          <w:sz w:val="16"/>
        </w:rPr>
        <w:t>Les noms d’anciens responsables sont mentionnés, mais aucune interdiction d’activité de lobbying au titre de l’article 16, alinéa 3, n’est appliquée.</w:t>
      </w:r>
    </w:p>
  </w:footnote>
  <w:footnote w:id="53">
    <w:p w:rsidR="00F8725A" w:rsidRDefault="00BE7D43">
      <w:pPr>
        <w:pStyle w:val="FootnoteText"/>
        <w:rPr>
          <w:sz w:val="16"/>
        </w:rPr>
      </w:pPr>
      <w:r>
        <w:rPr>
          <w:rStyle w:val="FootnoteReference"/>
          <w:sz w:val="16"/>
        </w:rPr>
        <w:footnoteRef/>
      </w:r>
      <w:r>
        <w:rPr>
          <w:sz w:val="16"/>
        </w:rPr>
        <w:t xml:space="preserve"> Le nom d’un ancien responsable est mentionné, mais aucune interdiction d’activité de lobbying au titre de l’article 16, alinéa 3, n’est appliquée.</w:t>
      </w:r>
    </w:p>
  </w:footnote>
  <w:footnote w:id="54">
    <w:p w:rsidR="00F8725A" w:rsidRDefault="00BE7D43">
      <w:pPr>
        <w:pStyle w:val="FootnoteText"/>
        <w:rPr>
          <w:sz w:val="16"/>
        </w:rPr>
      </w:pPr>
      <w:r>
        <w:rPr>
          <w:rStyle w:val="FootnoteReference"/>
          <w:sz w:val="16"/>
        </w:rPr>
        <w:footnoteRef/>
      </w:r>
      <w:r>
        <w:rPr>
          <w:sz w:val="16"/>
        </w:rPr>
        <w:t xml:space="preserve"> Le nom d’un ancien responsable est mentionné, mais aucune interdiction d’activité de lobbying au titre de l’article 16, alinéa 3, n’est appliquée.</w:t>
      </w:r>
    </w:p>
  </w:footnote>
  <w:footnote w:id="55">
    <w:p w:rsidR="00F8725A" w:rsidRDefault="00BE7D43">
      <w:pPr>
        <w:pStyle w:val="FootnoteText"/>
        <w:rPr>
          <w:sz w:val="16"/>
        </w:rPr>
      </w:pPr>
      <w:r>
        <w:rPr>
          <w:rStyle w:val="FootnoteReference"/>
          <w:sz w:val="16"/>
        </w:rPr>
        <w:footnoteRef/>
      </w:r>
      <w:r>
        <w:rPr>
          <w:sz w:val="16"/>
        </w:rPr>
        <w:t xml:space="preserve"> Les noms d’anciens responsables sont mentionnés, mais aucune interdiction d’activité de lobbying au titre de l’article 16, alinéa 3, n’est appliquée. </w:t>
      </w:r>
    </w:p>
  </w:footnote>
  <w:footnote w:id="56">
    <w:p w:rsidR="00F8725A" w:rsidRDefault="00BE7D43">
      <w:pPr>
        <w:pStyle w:val="FootnoteText"/>
      </w:pPr>
      <w:r>
        <w:rPr>
          <w:rStyle w:val="FootnoteReference"/>
          <w:sz w:val="16"/>
        </w:rPr>
        <w:footnoteRef/>
      </w:r>
      <w:r>
        <w:t xml:space="preserve"> </w:t>
      </w:r>
      <w:r>
        <w:rPr>
          <w:sz w:val="16"/>
        </w:rPr>
        <w:t>Les noms d’anciens responsables sont mentionnés, mais aucune interdiction d’activité de lobbying au titre de l’article 16, alinéa 3, n’est appliquée.</w:t>
      </w:r>
    </w:p>
  </w:footnote>
  <w:footnote w:id="57">
    <w:p w:rsidR="00F8725A" w:rsidRDefault="00BE7D43">
      <w:pPr>
        <w:pStyle w:val="FootnoteText"/>
      </w:pPr>
      <w:r>
        <w:rPr>
          <w:rStyle w:val="FootnoteReference"/>
          <w:sz w:val="16"/>
        </w:rPr>
        <w:footnoteRef/>
      </w:r>
      <w:r>
        <w:rPr>
          <w:sz w:val="16"/>
        </w:rPr>
        <w:t xml:space="preserve"> Les noms d’anciens responsables sont mentionnés, mais aucune interdiction d’activité de lobbying au titre de l’article 16, alinéa 3, n’est appliquée.</w:t>
      </w:r>
    </w:p>
  </w:footnote>
  <w:footnote w:id="58">
    <w:p w:rsidR="00F8725A" w:rsidRDefault="00BE7D43">
      <w:pPr>
        <w:pStyle w:val="FootnoteText"/>
        <w:ind w:left="709" w:hanging="709"/>
      </w:pPr>
      <w:r>
        <w:rPr>
          <w:rStyle w:val="FootnoteReference"/>
        </w:rPr>
        <w:footnoteRef/>
      </w:r>
      <w:r>
        <w:t xml:space="preserve"> </w:t>
      </w:r>
      <w:r>
        <w:tab/>
        <w:t>Sur 44 décisions de la Commission, 19 sont appliquées par analogie, les agences ont le choix entre la décision type prévue par l’accord ex ante de la Commission et les règles de la Commission dans 16 domaines, 5 décisions de la Commission ont été abrogées par une nouvelle décision de la Commission sur le même sujet, des demandes de dérogation sont en attente pour 2 décisions de la Commission et 1 décision sera satisfaite par l’accord ex ante.</w:t>
      </w:r>
    </w:p>
  </w:footnote>
  <w:footnote w:id="59">
    <w:p w:rsidR="00F8725A" w:rsidRDefault="00BE7D43">
      <w:pPr>
        <w:pStyle w:val="FootnoteText"/>
        <w:ind w:left="709" w:hanging="709"/>
      </w:pPr>
      <w:r>
        <w:rPr>
          <w:rStyle w:val="FootnoteReference"/>
        </w:rPr>
        <w:footnoteRef/>
      </w:r>
      <w:r>
        <w:t xml:space="preserve"> </w:t>
      </w:r>
      <w:r>
        <w:tab/>
        <w:t>Dans certains cas, une décision de la Commission a été adaptée en plusieurs décisions types adressées à différentes catégories d’agences/EC.</w:t>
      </w:r>
    </w:p>
  </w:footnote>
  <w:footnote w:id="60">
    <w:p w:rsidR="00F8725A" w:rsidRDefault="00BE7D43">
      <w:pPr>
        <w:pStyle w:val="FootnoteText"/>
        <w:ind w:left="709" w:hanging="709"/>
      </w:pPr>
      <w:r>
        <w:rPr>
          <w:rStyle w:val="FootnoteReference"/>
        </w:rPr>
        <w:footnoteRef/>
      </w:r>
      <w:r>
        <w:t xml:space="preserve"> </w:t>
      </w:r>
      <w:r>
        <w:tab/>
        <w:t>Vingt-cinq de ces accords individuels ont été donnés à des règles couvrant deux sujets pour lesquels un modèle est utilisé, permettant ainsi d’appliquer des règles très similaires dans différentes agences.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Pr="00833771" w:rsidRDefault="00833771" w:rsidP="00833771">
    <w:pPr>
      <w:pStyle w:val="HeaderCouncilLarge"/>
    </w:pPr>
    <w:r>
      <w: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Pr="00833771" w:rsidRDefault="00833771" w:rsidP="00833771">
    <w:pPr>
      <w:pStyle w:val="HeaderCouncil"/>
    </w:pPr>
    <w:r>
      <w:t>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43" w:rsidRDefault="00BE7D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43" w:rsidRDefault="00BE7D43">
    <w:pPr>
      <w:pStyle w:val="HeaderCoverPag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43" w:rsidRDefault="00BE7D43">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A" w:rsidRDefault="00F87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4B4197A"/>
    <w:multiLevelType w:val="hybridMultilevel"/>
    <w:tmpl w:val="EDE88630"/>
    <w:lvl w:ilvl="0" w:tplc="C77A33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900F7"/>
    <w:multiLevelType w:val="hybridMultilevel"/>
    <w:tmpl w:val="B1E2D238"/>
    <w:name w:val="ListDash4Numbering"/>
    <w:lvl w:ilvl="0" w:tplc="42C61B86">
      <w:start w:val="1"/>
      <w:numFmt w:val="bullet"/>
      <w:pStyle w:val="ListDash4"/>
      <w:lvlText w:val="–"/>
      <w:lvlJc w:val="left"/>
      <w:pPr>
        <w:tabs>
          <w:tab w:val="num" w:pos="1485"/>
        </w:tabs>
        <w:ind w:left="1485" w:hanging="283"/>
      </w:pPr>
      <w:rPr>
        <w:rFonts w:ascii="Times New Roman" w:hAnsi="Times New Roman"/>
      </w:rPr>
    </w:lvl>
    <w:lvl w:ilvl="1" w:tplc="47501EBE">
      <w:start w:val="1"/>
      <w:numFmt w:val="bullet"/>
      <w:pStyle w:val="ListDash4Level2"/>
      <w:lvlText w:val="–"/>
      <w:lvlJc w:val="left"/>
      <w:pPr>
        <w:tabs>
          <w:tab w:val="num" w:pos="1769"/>
        </w:tabs>
        <w:ind w:left="1769" w:hanging="284"/>
      </w:pPr>
      <w:rPr>
        <w:rFonts w:ascii="Times New Roman" w:hAnsi="Times New Roman"/>
      </w:rPr>
    </w:lvl>
    <w:lvl w:ilvl="2" w:tplc="B422137C">
      <w:start w:val="1"/>
      <w:numFmt w:val="bullet"/>
      <w:pStyle w:val="ListDash4Level3"/>
      <w:lvlText w:val="–"/>
      <w:lvlJc w:val="left"/>
      <w:pPr>
        <w:tabs>
          <w:tab w:val="num" w:pos="2052"/>
        </w:tabs>
        <w:ind w:left="2052" w:hanging="283"/>
      </w:pPr>
      <w:rPr>
        <w:rFonts w:ascii="Times New Roman" w:hAnsi="Times New Roman"/>
      </w:rPr>
    </w:lvl>
    <w:lvl w:ilvl="3" w:tplc="CB6EF21C">
      <w:start w:val="1"/>
      <w:numFmt w:val="bullet"/>
      <w:pStyle w:val="ListDash4Level4"/>
      <w:lvlText w:val="–"/>
      <w:lvlJc w:val="left"/>
      <w:pPr>
        <w:tabs>
          <w:tab w:val="num" w:pos="2336"/>
        </w:tabs>
        <w:ind w:left="2336" w:hanging="284"/>
      </w:pPr>
      <w:rPr>
        <w:rFonts w:ascii="Times New Roman" w:hAnsi="Times New Roman"/>
      </w:rPr>
    </w:lvl>
    <w:lvl w:ilvl="4" w:tplc="C66A673C">
      <w:numFmt w:val="none"/>
      <w:lvlText w:val=""/>
      <w:lvlJc w:val="left"/>
    </w:lvl>
    <w:lvl w:ilvl="5" w:tplc="D220B350">
      <w:numFmt w:val="none"/>
      <w:lvlText w:val=""/>
      <w:lvlJc w:val="left"/>
    </w:lvl>
    <w:lvl w:ilvl="6" w:tplc="B18E00CA">
      <w:numFmt w:val="none"/>
      <w:lvlText w:val=""/>
      <w:lvlJc w:val="left"/>
    </w:lvl>
    <w:lvl w:ilvl="7" w:tplc="83F27CCA">
      <w:numFmt w:val="none"/>
      <w:lvlText w:val=""/>
      <w:lvlJc w:val="left"/>
    </w:lvl>
    <w:lvl w:ilvl="8" w:tplc="D8D60B4C">
      <w:numFmt w:val="none"/>
      <w:lvlText w:val=""/>
      <w:lvlJc w:val="left"/>
    </w:lvl>
  </w:abstractNum>
  <w:abstractNum w:abstractNumId="3">
    <w:nsid w:val="120B7201"/>
    <w:multiLevelType w:val="hybridMultilevel"/>
    <w:tmpl w:val="876A5278"/>
    <w:name w:val="ListNumberNumbering"/>
    <w:lvl w:ilvl="0" w:tplc="C1D239D8">
      <w:start w:val="1"/>
      <w:numFmt w:val="decimal"/>
      <w:pStyle w:val="ListNumber"/>
      <w:lvlText w:val="(%1)"/>
      <w:lvlJc w:val="left"/>
      <w:pPr>
        <w:tabs>
          <w:tab w:val="num" w:pos="709"/>
        </w:tabs>
        <w:ind w:left="709" w:hanging="709"/>
      </w:pPr>
    </w:lvl>
    <w:lvl w:ilvl="1" w:tplc="95EAC038">
      <w:start w:val="1"/>
      <w:numFmt w:val="lowerLetter"/>
      <w:pStyle w:val="ListNumberLevel2"/>
      <w:lvlText w:val="(%2)"/>
      <w:lvlJc w:val="left"/>
      <w:pPr>
        <w:tabs>
          <w:tab w:val="num" w:pos="1417"/>
        </w:tabs>
        <w:ind w:left="1417" w:hanging="708"/>
      </w:pPr>
    </w:lvl>
    <w:lvl w:ilvl="2" w:tplc="DD349854">
      <w:start w:val="1"/>
      <w:numFmt w:val="bullet"/>
      <w:pStyle w:val="ListNumberLevel3"/>
      <w:lvlText w:val="–"/>
      <w:lvlJc w:val="left"/>
      <w:pPr>
        <w:tabs>
          <w:tab w:val="num" w:pos="2126"/>
        </w:tabs>
        <w:ind w:left="2126" w:hanging="709"/>
      </w:pPr>
      <w:rPr>
        <w:rFonts w:ascii="Times New Roman" w:hAnsi="Times New Roman"/>
      </w:rPr>
    </w:lvl>
    <w:lvl w:ilvl="3" w:tplc="5A4EE58C">
      <w:start w:val="1"/>
      <w:numFmt w:val="bullet"/>
      <w:pStyle w:val="ListNumberLevel4"/>
      <w:lvlText w:val=""/>
      <w:lvlJc w:val="left"/>
      <w:pPr>
        <w:tabs>
          <w:tab w:val="num" w:pos="2835"/>
        </w:tabs>
        <w:ind w:left="2835" w:hanging="709"/>
      </w:pPr>
      <w:rPr>
        <w:rFonts w:ascii="Symbol" w:hAnsi="Symbol"/>
      </w:rPr>
    </w:lvl>
    <w:lvl w:ilvl="4" w:tplc="BB100A3C">
      <w:numFmt w:val="none"/>
      <w:lvlText w:val=""/>
      <w:lvlJc w:val="left"/>
    </w:lvl>
    <w:lvl w:ilvl="5" w:tplc="FDF8B5CC">
      <w:numFmt w:val="none"/>
      <w:lvlText w:val=""/>
      <w:lvlJc w:val="left"/>
    </w:lvl>
    <w:lvl w:ilvl="6" w:tplc="F5BE0556">
      <w:numFmt w:val="none"/>
      <w:lvlText w:val=""/>
      <w:lvlJc w:val="left"/>
    </w:lvl>
    <w:lvl w:ilvl="7" w:tplc="1DAC914E">
      <w:numFmt w:val="none"/>
      <w:lvlText w:val=""/>
      <w:lvlJc w:val="left"/>
    </w:lvl>
    <w:lvl w:ilvl="8" w:tplc="0B1C9892">
      <w:numFmt w:val="none"/>
      <w:lvlText w:val=""/>
      <w:lvlJc w:val="left"/>
    </w:lvl>
  </w:abstractNum>
  <w:abstractNum w:abstractNumId="4">
    <w:nsid w:val="288A7F47"/>
    <w:multiLevelType w:val="hybridMultilevel"/>
    <w:tmpl w:val="3DE8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7CB1E1C"/>
    <w:multiLevelType w:val="hybridMultilevel"/>
    <w:tmpl w:val="D6E82018"/>
    <w:name w:val="ListDash1Numbering"/>
    <w:lvl w:ilvl="0" w:tplc="7B669670">
      <w:start w:val="1"/>
      <w:numFmt w:val="bullet"/>
      <w:pStyle w:val="ListDash1"/>
      <w:lvlText w:val="–"/>
      <w:lvlJc w:val="left"/>
      <w:pPr>
        <w:tabs>
          <w:tab w:val="num" w:pos="765"/>
        </w:tabs>
        <w:ind w:left="765" w:hanging="283"/>
      </w:pPr>
      <w:rPr>
        <w:rFonts w:ascii="Times New Roman" w:hAnsi="Times New Roman"/>
      </w:rPr>
    </w:lvl>
    <w:lvl w:ilvl="1" w:tplc="BC185C46">
      <w:start w:val="1"/>
      <w:numFmt w:val="bullet"/>
      <w:pStyle w:val="ListDash1Level2"/>
      <w:lvlText w:val="–"/>
      <w:lvlJc w:val="left"/>
      <w:pPr>
        <w:tabs>
          <w:tab w:val="num" w:pos="1049"/>
        </w:tabs>
        <w:ind w:left="1049" w:hanging="284"/>
      </w:pPr>
      <w:rPr>
        <w:rFonts w:ascii="Times New Roman" w:hAnsi="Times New Roman"/>
      </w:rPr>
    </w:lvl>
    <w:lvl w:ilvl="2" w:tplc="815E77BE">
      <w:start w:val="1"/>
      <w:numFmt w:val="bullet"/>
      <w:pStyle w:val="ListDash1Level3"/>
      <w:lvlText w:val="–"/>
      <w:lvlJc w:val="left"/>
      <w:pPr>
        <w:tabs>
          <w:tab w:val="num" w:pos="1332"/>
        </w:tabs>
        <w:ind w:left="1332" w:hanging="283"/>
      </w:pPr>
      <w:rPr>
        <w:rFonts w:ascii="Times New Roman" w:hAnsi="Times New Roman"/>
      </w:rPr>
    </w:lvl>
    <w:lvl w:ilvl="3" w:tplc="2A02061A">
      <w:start w:val="1"/>
      <w:numFmt w:val="bullet"/>
      <w:pStyle w:val="ListDash1Level4"/>
      <w:lvlText w:val="–"/>
      <w:lvlJc w:val="left"/>
      <w:pPr>
        <w:tabs>
          <w:tab w:val="num" w:pos="1616"/>
        </w:tabs>
        <w:ind w:left="1616" w:hanging="284"/>
      </w:pPr>
      <w:rPr>
        <w:rFonts w:ascii="Times New Roman" w:hAnsi="Times New Roman"/>
      </w:rPr>
    </w:lvl>
    <w:lvl w:ilvl="4" w:tplc="4DD40D1A">
      <w:numFmt w:val="none"/>
      <w:lvlText w:val=""/>
      <w:lvlJc w:val="left"/>
    </w:lvl>
    <w:lvl w:ilvl="5" w:tplc="EDE2ABC2">
      <w:numFmt w:val="none"/>
      <w:lvlText w:val=""/>
      <w:lvlJc w:val="left"/>
    </w:lvl>
    <w:lvl w:ilvl="6" w:tplc="A9CA21C2">
      <w:numFmt w:val="none"/>
      <w:lvlText w:val=""/>
      <w:lvlJc w:val="left"/>
    </w:lvl>
    <w:lvl w:ilvl="7" w:tplc="5F361B28">
      <w:numFmt w:val="none"/>
      <w:lvlText w:val=""/>
      <w:lvlJc w:val="left"/>
    </w:lvl>
    <w:lvl w:ilvl="8" w:tplc="39281006">
      <w:numFmt w:val="none"/>
      <w:lvlText w:val=""/>
      <w:lvlJc w:val="left"/>
    </w:lvl>
  </w:abstractNum>
  <w:abstractNum w:abstractNumId="7">
    <w:nsid w:val="3A7730C4"/>
    <w:multiLevelType w:val="hybridMultilevel"/>
    <w:tmpl w:val="456C96DE"/>
    <w:lvl w:ilvl="0" w:tplc="8B968F8C">
      <w:start w:val="1"/>
      <w:numFmt w:val="bullet"/>
      <w:pStyle w:val="ListBullet1"/>
      <w:lvlText w:val=""/>
      <w:lvlJc w:val="left"/>
      <w:pPr>
        <w:tabs>
          <w:tab w:val="num" w:pos="765"/>
        </w:tabs>
        <w:ind w:left="765" w:hanging="283"/>
      </w:pPr>
      <w:rPr>
        <w:rFonts w:ascii="Symbol" w:hAnsi="Symbol"/>
      </w:rPr>
    </w:lvl>
    <w:lvl w:ilvl="1" w:tplc="96F6D2C6">
      <w:numFmt w:val="decimal"/>
      <w:lvlText w:val=""/>
      <w:lvlJc w:val="left"/>
    </w:lvl>
    <w:lvl w:ilvl="2" w:tplc="A8207AFC">
      <w:numFmt w:val="decimal"/>
      <w:lvlText w:val=""/>
      <w:lvlJc w:val="left"/>
    </w:lvl>
    <w:lvl w:ilvl="3" w:tplc="AA0AB024">
      <w:numFmt w:val="decimal"/>
      <w:lvlText w:val=""/>
      <w:lvlJc w:val="left"/>
    </w:lvl>
    <w:lvl w:ilvl="4" w:tplc="FDC03930">
      <w:numFmt w:val="decimal"/>
      <w:lvlText w:val=""/>
      <w:lvlJc w:val="left"/>
    </w:lvl>
    <w:lvl w:ilvl="5" w:tplc="38E03ACE">
      <w:numFmt w:val="decimal"/>
      <w:lvlText w:val=""/>
      <w:lvlJc w:val="left"/>
    </w:lvl>
    <w:lvl w:ilvl="6" w:tplc="654EFB68">
      <w:numFmt w:val="decimal"/>
      <w:lvlText w:val=""/>
      <w:lvlJc w:val="left"/>
    </w:lvl>
    <w:lvl w:ilvl="7" w:tplc="6D72109A">
      <w:numFmt w:val="decimal"/>
      <w:lvlText w:val=""/>
      <w:lvlJc w:val="left"/>
    </w:lvl>
    <w:lvl w:ilvl="8" w:tplc="23B8AE40">
      <w:numFmt w:val="decimal"/>
      <w:lvlText w:val=""/>
      <w:lvlJc w:val="left"/>
    </w:lvl>
  </w:abstractNum>
  <w:abstractNum w:abstractNumId="8">
    <w:nsid w:val="75EB0F58"/>
    <w:multiLevelType w:val="hybridMultilevel"/>
    <w:tmpl w:val="9450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65145E"/>
    <w:multiLevelType w:val="multilevel"/>
    <w:tmpl w:val="0DB6564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854"/>
        </w:tabs>
        <w:ind w:left="1854"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2"/>
  </w:num>
  <w:num w:numId="3">
    <w:abstractNumId w:val="3"/>
  </w:num>
  <w:num w:numId="4">
    <w:abstractNumId w:val="8"/>
  </w:num>
  <w:num w:numId="5">
    <w:abstractNumId w:val="6"/>
  </w:num>
  <w:num w:numId="6">
    <w:abstractNumId w:val="0"/>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9"/>
  </w:num>
  <w:num w:numId="19">
    <w:abstractNumId w:val="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num>
  <w:num w:numId="2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Green"/>
    <w:docVar w:name="DocuWriteMetaData" w:val="&lt;metadataset docuwriteversion=&quot;4.5.2&quot; technicalblockguid=&quot;5629485344312081857&quot;&gt;_x000d__x000a_  &lt;metadata key=&quot;md_DocumentLanguages&quot;&gt;_x000d__x000a_    &lt;basicdatatypelist&gt;_x000d__x000a_      &lt;language key=&quot;FR&quot; text=&quot;FR&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NOTE DE TRANSMISSION&quot; /&gt;_x000d__x000a_    &lt;/basicdatatype&gt;_x000d__x000a_  &lt;/metadata&gt;_x000d__x000a_  &lt;metadata key=&quot;md_HeadingText&quot;&gt;_x000d__x000a_    &lt;headingtext text=&quot;NOTE DE TRANSMISSION&quot;&gt;_x000d__x000a_      &lt;formattedtext&gt;_x000d__x000a_        &lt;xaml text=&quot;NOTE DE TRANSMISSION&quot;&gt;&amp;lt;FlowDocument xmlns=&quot;http://schemas.microsoft.com/winfx/2006/xaml/presentation&quot;&amp;gt;&amp;lt;Paragraph&amp;gt;NOTE DE TRANSMISSION&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nseil de l'Union européenn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gt;_x000d__x000a_    &lt;text&gt;2021-08-05&lt;/text&gt;_x000d__x000a_  &lt;/metadata&gt;_x000d__x000a_  &lt;metadata key=&quot;md_Prefix&quot;&gt;_x000d__x000a_    &lt;text&gt;&lt;/text&gt;_x000d__x000a_  &lt;/metadata&gt;_x000d__x000a_  &lt;metadata key=&quot;md_DocumentNumber&quot;&gt;_x000d__x000a_    &lt;text&gt;11164&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STAT 22&lt;/text&gt;_x000d__x000a_      &lt;text&gt;FIN 64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Pour la secrétaire générale de la Commission européenne, Madame Martine DEPREZ, directrice&quot; /&gt;_x000d__x000a_    &lt;/basicdatatype&gt;_x000d__x000a_  &lt;/metadata&gt;_x000d__x000a_  &lt;metadata key=&quot;md_Recipient&quot;&gt;_x000d__x000a_    &lt;basicdatatype&gt;_x000d__x000a_      &lt;recipient key=&quot;re_02&quot; text=&quot;Monsieur Jeppe TRANHOLM-MIKKELSEN, secrétaire général du Conseil de l'Union européenne&quot; /&gt;_x000d__x000a_    &lt;/basicdatatype&gt;_x000d__x000a_  &lt;/metadata&gt;_x000d__x000a_  &lt;metadata key=&quot;md_DateOfReceipt&quot;&gt;_x000d__x000a_    &lt;text&gt;2021-08-04&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1) 439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APPORT DE LA COMMISSION AU PARLEMENT EUROPÉEN ET AU CONSEIL Rapport de la Commission au Parlement européen et au Conseil  évaluant le fonctionnement du statut des fonctionnaires et du régime applicable  aux autres agents de l'Union européenne&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 xml:space=&quot;preserve&quot;&amp;gt;RAPPORT DE LA COMMISSION AU PARLEMENT EUROPÉEN ET AU CONSEIL Rapport de la Commission au Parlement européen et au Conseil  évaluant le fonctionnement du statut des fonctionnaires et du régime applicable  aux autres agents de l&amp;lt;Run xml:lang=&quot;fr-be&quot;&amp;gt;'&amp;lt;/Run&amp;gt;Union européenne&amp;lt;/Paragraph&amp;gt;&amp;lt;/FlowDocument&amp;gt;&lt;/xaml&gt;_x000d__x000a_  &lt;/metadata&gt;_x000d__x000a_  &lt;metadata key=&quot;md_SubjectFootnote&quot; /&gt;_x000d__x000a_  &lt;metadata key=&quot;md_DG&quot;&gt;_x000d__x000a_    &lt;text&gt;ORG.1.F&lt;/text&gt;_x000d__x000a_  &lt;/metadata&gt;_x000d__x000a_  &lt;metadata key=&quot;md_Initials&quot;&gt;_x000d__x000a_    &lt;text&gt;cv&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FR&lt;/text&gt;_x000d__x000a_  &lt;/metadata&gt;_x000d__x000a_  &lt;metadata key=&quot;md_SourceDocType&quot;&gt;_x000d__x000a_    &lt;text&gt;RAPPORT DE LA COMMISSION AU PARLEMENT EUROPÉEN ET AU CONSEIL&lt;/text&gt;_x000d__x000a_  &lt;/metadata&gt;_x000d__x000a_  &lt;metadata key=&quot;md_SourceDocTitle&quot;&gt;_x000d__x000a_    &lt;text&gt;{b}Rapport de la Commission au Parlement européen et au Conseil {/b}_x000d__x000a_{b}évaluant le fonctionnement du statut des fonctionnaires et du régime applicable{/b}_x000d__x000a_{b} aux autres agents de l&amp;#8217;Union européenne{/b}&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LW_ACCOMPAGNANT.CP" w:val="&lt;UNUSED&gt;"/>
    <w:docVar w:name="LW_CORRIGENDUM" w:val="&lt;UNUSED&gt;"/>
    <w:docVar w:name="LW_COVERPAGE_EXISTS" w:val="True"/>
    <w:docVar w:name="LW_COVERPAGE_GUID" w:val="6949C0B4-6D55-4455-983B-3199F2F9C6CB"/>
    <w:docVar w:name="LW_COVERPAGE_TYPE" w:val="1"/>
    <w:docVar w:name="LW_CROSSREFERENCE" w:val="&lt;UNUSED&gt;"/>
    <w:docVar w:name="LW_DATE.ADOPT.CP_ISODATE" w:val="&lt;EMPTY&gt;"/>
    <w:docVar w:name="LW_DocType" w:val="NORMAL"/>
    <w:docVar w:name="LW_EMISSION" w:val="4.8.2021"/>
    <w:docVar w:name="LW_EMISSION_ISODATE" w:val="2021-08-04"/>
    <w:docVar w:name="LW_EMISSION_LOCATION" w:val="BRX"/>
    <w:docVar w:name="LW_EMISSION_PREFIX" w:val="Bruxelles, le "/>
    <w:docVar w:name="LW_EMISSION_SUFFIX" w:val=" "/>
    <w:docVar w:name="LW_ID_DOCTYPE_NONLW" w:val="CP-006"/>
    <w:docVar w:name="LW_INTERETEEE.CP" w:val="&lt;UNUSED&gt;"/>
    <w:docVar w:name="LW_LANGUE" w:val="FR"/>
    <w:docVar w:name="LW_LANGUESFAISANTFOI.CP" w:val="&lt;UNUSED&gt;"/>
    <w:docVar w:name="LW_LEVEL_OF_SENSITIVITY" w:val="Standard treatment"/>
    <w:docVar w:name="LW_NOM.INST" w:val="COMMISSION EUROPÉENNE"/>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1"/>
    <w:docVar w:name="LW_REF.INST.NEW" w:val="COM"/>
    <w:docVar w:name="LW_REF.INST.NEW_ADOPTED" w:val="final"/>
    <w:docVar w:name="LW_REF.INST.NEW_TEXT" w:val="(2021) 4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Rapport de la Commission au Parlement européen et au Conseil &lt;/FMT&gt;_x000b_&lt;FMT:Bold&gt;évaluant le fonctionnement du statut des fonctionnaires et du régime applicable&lt;/FMT&gt;_x000b_&lt;FMT:Bold&gt; aux autres agents de l\u8217?Union européenne&lt;/FMT&gt;"/>
    <w:docVar w:name="LW_TYPE.DOC.CP" w:val="RAPPORT DE LA COMMISSION AU PARLEMENT EUROPÉEN ET AU CONSEIL"/>
    <w:docVar w:name="LW_TYPEACTEPRINCIPAL.CP" w:val="&lt;UNUSED&gt;"/>
    <w:docVar w:name="LwApiVersions" w:val="LW4CoDe 1.23.0.0; LW 8.0, Build 20210114"/>
  </w:docVars>
  <w:rsids>
    <w:rsidRoot w:val="00F8725A"/>
    <w:rsid w:val="001514C9"/>
    <w:rsid w:val="002F71AC"/>
    <w:rsid w:val="003911CB"/>
    <w:rsid w:val="003B5F76"/>
    <w:rsid w:val="00712268"/>
    <w:rsid w:val="00833771"/>
    <w:rsid w:val="00B873CB"/>
    <w:rsid w:val="00BE7D43"/>
    <w:rsid w:val="00C505C4"/>
    <w:rsid w:val="00CB38A2"/>
    <w:rsid w:val="00F8725A"/>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fr-BE"/>
    </w:rPr>
  </w:style>
  <w:style w:type="paragraph" w:styleId="Heading1">
    <w:name w:val="heading 1"/>
    <w:basedOn w:val="Normal"/>
    <w:next w:val="Text1"/>
    <w:link w:val="Heading1Char"/>
    <w:uiPriority w:val="90"/>
    <w:qFormat/>
    <w:pPr>
      <w:keepNext/>
      <w:numPr>
        <w:numId w:val="1"/>
      </w:numPr>
      <w:spacing w:before="240"/>
      <w:outlineLvl w:val="0"/>
    </w:pPr>
    <w:rPr>
      <w:b/>
      <w:smallCaps/>
    </w:rPr>
  </w:style>
  <w:style w:type="paragraph" w:styleId="Heading2">
    <w:name w:val="heading 2"/>
    <w:basedOn w:val="Normal"/>
    <w:next w:val="Text2"/>
    <w:link w:val="Heading2Char"/>
    <w:uiPriority w:val="90"/>
    <w:qFormat/>
    <w:pPr>
      <w:keepNext/>
      <w:numPr>
        <w:ilvl w:val="1"/>
        <w:numId w:val="1"/>
      </w:numPr>
      <w:outlineLvl w:val="1"/>
    </w:pPr>
    <w:rPr>
      <w:b/>
    </w:rPr>
  </w:style>
  <w:style w:type="paragraph" w:styleId="Heading3">
    <w:name w:val="heading 3"/>
    <w:basedOn w:val="Normal"/>
    <w:next w:val="Normal"/>
    <w:link w:val="Heading3Char"/>
    <w:uiPriority w:val="90"/>
    <w:qFormat/>
    <w:pPr>
      <w:keepNext/>
      <w:numPr>
        <w:ilvl w:val="2"/>
        <w:numId w:val="1"/>
      </w:numPr>
      <w:outlineLvl w:val="2"/>
    </w:pPr>
    <w:rPr>
      <w:i/>
    </w:rPr>
  </w:style>
  <w:style w:type="paragraph" w:styleId="Heading4">
    <w:name w:val="heading 4"/>
    <w:basedOn w:val="Normal"/>
    <w:next w:val="Normal"/>
    <w:link w:val="Heading4Char"/>
    <w:uiPriority w:val="90"/>
    <w:qFormat/>
    <w:pPr>
      <w:keepNext/>
      <w:numPr>
        <w:ilvl w:val="3"/>
        <w:numId w:val="1"/>
      </w:numPr>
      <w:outlineLvl w:val="3"/>
    </w:pPr>
  </w:style>
  <w:style w:type="paragraph" w:styleId="Heading5">
    <w:name w:val="heading 5"/>
    <w:basedOn w:val="Normal"/>
    <w:next w:val="Normal"/>
    <w:link w:val="Heading5Char"/>
    <w:semiHidden/>
    <w:qFormat/>
    <w:pPr>
      <w:keepNext/>
      <w:numPr>
        <w:ilvl w:val="4"/>
        <w:numId w:val="1"/>
      </w:numPr>
      <w:outlineLvl w:val="4"/>
    </w:pPr>
  </w:style>
  <w:style w:type="paragraph" w:styleId="Heading6">
    <w:name w:val="heading 6"/>
    <w:basedOn w:val="Normal"/>
    <w:next w:val="Normal"/>
    <w:link w:val="Heading6Char"/>
    <w:semiHidden/>
    <w:qFormat/>
    <w:pPr>
      <w:keepNext/>
      <w:numPr>
        <w:ilvl w:val="5"/>
        <w:numId w:val="1"/>
      </w:numPr>
      <w:outlineLvl w:val="5"/>
    </w:pPr>
  </w:style>
  <w:style w:type="paragraph" w:styleId="Heading7">
    <w:name w:val="heading 7"/>
    <w:basedOn w:val="Normal"/>
    <w:next w:val="Normal"/>
    <w:link w:val="Heading7Char"/>
    <w:semiHidden/>
    <w:qFormat/>
    <w:pPr>
      <w:keepNext/>
      <w:numPr>
        <w:ilvl w:val="6"/>
        <w:numId w:val="1"/>
      </w:numPr>
      <w:outlineLvl w:val="6"/>
    </w:pPr>
  </w:style>
  <w:style w:type="paragraph" w:styleId="Heading8">
    <w:name w:val="heading 8"/>
    <w:basedOn w:val="Normal"/>
    <w:next w:val="Normal"/>
    <w:link w:val="Heading8Char"/>
    <w:semiHidden/>
    <w:qFormat/>
    <w:pPr>
      <w:keepNext/>
      <w:numPr>
        <w:ilvl w:val="7"/>
        <w:numId w:val="1"/>
      </w:numPr>
      <w:outlineLvl w:val="7"/>
    </w:pPr>
  </w:style>
  <w:style w:type="paragraph" w:styleId="Heading9">
    <w:name w:val="heading 9"/>
    <w:basedOn w:val="Normal"/>
    <w:next w:val="Normal"/>
    <w:link w:val="Heading9Char"/>
    <w:semiHidden/>
    <w:qFormat/>
    <w:pPr>
      <w:keepNext/>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fr-FR" w:eastAsia="fr-BE"/>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fr-FR" w:eastAsia="fr-B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fr-FR" w:eastAsia="fr-BE"/>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fr-FR" w:eastAsia="fr-BE"/>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fr-FR" w:eastAsia="fr-BE"/>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fr-FR" w:eastAsia="fr-BE"/>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fr-FR" w:eastAsia="fr-BE"/>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fr-FR" w:eastAsia="fr-BE"/>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fr-FR" w:eastAsia="fr-BE"/>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SubTitle1">
    <w:name w:val="SubTitle 1"/>
    <w:basedOn w:val="Normal"/>
    <w:next w:val="Normal"/>
    <w:pPr>
      <w:jc w:val="center"/>
    </w:pPr>
    <w:rPr>
      <w:b/>
      <w:sz w:val="40"/>
    </w:rPr>
  </w:style>
  <w:style w:type="paragraph" w:styleId="Title">
    <w:name w:val="Title"/>
    <w:basedOn w:val="Normal"/>
    <w:next w:val="SubTitle1"/>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fr-FR" w:eastAsia="fr-BE"/>
    </w:rPr>
  </w:style>
  <w:style w:type="paragraph" w:customStyle="1" w:styleId="Text2">
    <w:name w:val="Text 2"/>
    <w:basedOn w:val="Normal"/>
    <w:uiPriority w:val="90"/>
    <w:qFormat/>
    <w:pPr>
      <w:ind w:left="1202"/>
    </w:pPr>
  </w:style>
  <w:style w:type="paragraph" w:customStyle="1" w:styleId="Text1">
    <w:name w:val="Text 1"/>
    <w:basedOn w:val="Normal"/>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val="fr-FR" w:eastAsia="fr-BE"/>
    </w:rPr>
  </w:style>
  <w:style w:type="paragraph" w:styleId="FootnoteText">
    <w:name w:val="footnote text"/>
    <w:basedOn w:val="Normal"/>
    <w:link w:val="FootnoteTextChar"/>
    <w:uiPriority w:val="99"/>
    <w:pPr>
      <w:spacing w:after="120"/>
      <w:ind w:left="357" w:hanging="357"/>
    </w:pPr>
    <w:rPr>
      <w:sz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fr-FR" w:eastAsia="fr-BE"/>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rFonts w:ascii="Times New Roman" w:eastAsia="Times New Roman" w:hAnsi="Times New Roman" w:cs="Times New Roman"/>
      <w:sz w:val="24"/>
      <w:szCs w:val="20"/>
      <w:lang w:val="fr-FR" w:eastAsia="fr-BE"/>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fr-BE"/>
    </w:rPr>
    <w:tblPr>
      <w:tblCellMar>
        <w:left w:w="0" w:type="dxa"/>
        <w:bottom w:w="340" w:type="dxa"/>
        <w:right w:w="0" w:type="dxa"/>
      </w:tblCellMar>
    </w:tblPr>
  </w:style>
  <w:style w:type="character" w:styleId="FootnoteReference">
    <w:name w:val="footnote reference"/>
    <w:basedOn w:val="DefaultParagraphFont"/>
    <w:uiPriority w:val="99"/>
    <w:rPr>
      <w:vertAlign w:val="superscript"/>
    </w:rPr>
  </w:style>
  <w:style w:type="character" w:styleId="PlaceholderText">
    <w:name w:val="Placeholder Text"/>
    <w:basedOn w:val="DefaultParagraphFont"/>
    <w:uiPriority w:val="99"/>
    <w:semiHidden/>
    <w:rPr>
      <w:color w:val="288061"/>
    </w:rPr>
  </w:style>
  <w:style w:type="paragraph" w:customStyle="1" w:styleId="ListDash4">
    <w:name w:val="List Dash 4"/>
    <w:basedOn w:val="Normal"/>
    <w:pPr>
      <w:numPr>
        <w:numId w:val="2"/>
      </w:numPr>
    </w:pPr>
  </w:style>
  <w:style w:type="paragraph" w:customStyle="1" w:styleId="ListDash4Level2">
    <w:name w:val="List Dash 4 (Level 2)"/>
    <w:basedOn w:val="Normal"/>
    <w:pPr>
      <w:numPr>
        <w:ilvl w:val="1"/>
        <w:numId w:val="2"/>
      </w:numPr>
    </w:pPr>
  </w:style>
  <w:style w:type="paragraph" w:customStyle="1" w:styleId="ListDash4Level3">
    <w:name w:val="List Dash 4 (Level 3)"/>
    <w:basedOn w:val="Normal"/>
    <w:semiHidden/>
    <w:unhideWhenUsed/>
    <w:pPr>
      <w:numPr>
        <w:ilvl w:val="2"/>
        <w:numId w:val="2"/>
      </w:numPr>
    </w:pPr>
  </w:style>
  <w:style w:type="paragraph" w:customStyle="1" w:styleId="ListDash4Level4">
    <w:name w:val="List Dash 4 (Level 4)"/>
    <w:basedOn w:val="Normal"/>
    <w:semiHidden/>
    <w:unhideWhenUsed/>
    <w:pPr>
      <w:numPr>
        <w:ilvl w:val="3"/>
        <w:numId w:val="2"/>
      </w:numPr>
    </w:pPr>
  </w:style>
  <w:style w:type="paragraph" w:styleId="ListNumber">
    <w:name w:val="List Number"/>
    <w:basedOn w:val="Normal"/>
    <w:pPr>
      <w:numPr>
        <w:numId w:val="3"/>
      </w:numPr>
    </w:pPr>
  </w:style>
  <w:style w:type="paragraph" w:customStyle="1" w:styleId="ListNumberLevel2">
    <w:name w:val="List Number (Level 2)"/>
    <w:basedOn w:val="Normal"/>
    <w:pPr>
      <w:numPr>
        <w:ilvl w:val="1"/>
        <w:numId w:val="3"/>
      </w:numPr>
    </w:pPr>
  </w:style>
  <w:style w:type="paragraph" w:customStyle="1" w:styleId="ListNumberLevel3">
    <w:name w:val="List Number (Level 3)"/>
    <w:basedOn w:val="Normal"/>
    <w:unhideWhenUsed/>
    <w:pPr>
      <w:numPr>
        <w:ilvl w:val="2"/>
        <w:numId w:val="3"/>
      </w:numPr>
    </w:pPr>
  </w:style>
  <w:style w:type="paragraph" w:customStyle="1" w:styleId="ListNumberLevel4">
    <w:name w:val="List Number (Level 4)"/>
    <w:basedOn w:val="Normal"/>
    <w:unhideWhenUsed/>
    <w:pPr>
      <w:numPr>
        <w:ilvl w:val="3"/>
        <w:numId w:val="3"/>
      </w:numPr>
    </w:pPr>
  </w:style>
  <w:style w:type="paragraph" w:styleId="ListParagraph">
    <w:name w:val="List Paragraph"/>
    <w:basedOn w:val="Normal"/>
    <w:uiPriority w:val="34"/>
    <w:qFormat/>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fr-FR" w:eastAsia="fr-B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r-FR" w:eastAsia="fr-BE"/>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fr-FR" w:eastAsia="fr-BE"/>
    </w:rPr>
  </w:style>
  <w:style w:type="paragraph" w:customStyle="1" w:styleId="ListDash1">
    <w:name w:val="List Dash 1"/>
    <w:basedOn w:val="Text1"/>
    <w:pPr>
      <w:numPr>
        <w:numId w:val="5"/>
      </w:numPr>
    </w:pPr>
  </w:style>
  <w:style w:type="paragraph" w:customStyle="1" w:styleId="ListDash1Level2">
    <w:name w:val="List Dash 1 (Level 2)"/>
    <w:basedOn w:val="Text1"/>
    <w:pPr>
      <w:numPr>
        <w:ilvl w:val="1"/>
        <w:numId w:val="5"/>
      </w:numPr>
    </w:pPr>
  </w:style>
  <w:style w:type="paragraph" w:customStyle="1" w:styleId="ListDash1Level3">
    <w:name w:val="List Dash 1 (Level 3)"/>
    <w:basedOn w:val="Text1"/>
    <w:semiHidden/>
    <w:unhideWhenUsed/>
    <w:pPr>
      <w:numPr>
        <w:ilvl w:val="2"/>
        <w:numId w:val="5"/>
      </w:numPr>
    </w:pPr>
  </w:style>
  <w:style w:type="paragraph" w:customStyle="1" w:styleId="ListDash1Level4">
    <w:name w:val="List Dash 1 (Level 4)"/>
    <w:basedOn w:val="Text1"/>
    <w:semiHidden/>
    <w:unhideWhenUsed/>
    <w:pPr>
      <w:numPr>
        <w:ilvl w:val="3"/>
        <w:numId w:val="5"/>
      </w:numPr>
    </w:pPr>
  </w:style>
  <w:style w:type="table" w:styleId="TableGrid">
    <w:name w:val="Table Grid"/>
    <w:basedOn w:val="TableNormal"/>
    <w:uiPriority w:val="39"/>
    <w:pPr>
      <w:spacing w:after="0" w:line="240" w:lineRule="auto"/>
    </w:pPr>
    <w:rPr>
      <w:rFonts w:ascii="Times New Roman" w:eastAsia="Times New Roman" w:hAnsi="Times New Roman" w:cs="Times New Roman"/>
      <w:sz w:val="24"/>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Pr>
      <w:color w:val="0563C1" w:themeColor="hyperlink"/>
      <w:u w:val="single"/>
    </w:rPr>
  </w:style>
  <w:style w:type="paragraph" w:customStyle="1" w:styleId="Normal12Hanging">
    <w:name w:val="Normal12Hanging"/>
    <w:basedOn w:val="Normal"/>
    <w:link w:val="Normal12HangingChar"/>
    <w:pPr>
      <w:widowControl w:val="0"/>
      <w:ind w:left="567" w:hanging="567"/>
      <w:jc w:val="left"/>
    </w:pPr>
    <w:rPr>
      <w:lang w:eastAsia="en-GB"/>
    </w:rPr>
  </w:style>
  <w:style w:type="paragraph" w:customStyle="1" w:styleId="NormalHanging12a">
    <w:name w:val="NormalHanging12a"/>
    <w:basedOn w:val="Normal"/>
    <w:link w:val="NormalHanging12aChar"/>
    <w:pPr>
      <w:widowControl w:val="0"/>
      <w:ind w:left="567" w:hanging="567"/>
      <w:jc w:val="left"/>
    </w:pPr>
    <w:rPr>
      <w:lang w:eastAsia="en-GB"/>
    </w:rPr>
  </w:style>
  <w:style w:type="character" w:customStyle="1" w:styleId="NormalHanging12aChar">
    <w:name w:val="NormalHanging12a Char"/>
    <w:link w:val="NormalHanging12a"/>
    <w:rPr>
      <w:rFonts w:ascii="Times New Roman" w:eastAsia="Times New Roman" w:hAnsi="Times New Roman" w:cs="Times New Roman"/>
      <w:sz w:val="24"/>
      <w:szCs w:val="20"/>
      <w:lang w:val="fr-FR" w:eastAsia="en-GB"/>
    </w:rPr>
  </w:style>
  <w:style w:type="character" w:customStyle="1" w:styleId="Normal12HangingChar">
    <w:name w:val="Normal12Hanging Char"/>
    <w:link w:val="Normal12Hanging"/>
    <w:locked/>
    <w:rPr>
      <w:rFonts w:ascii="Times New Roman" w:eastAsia="Times New Roman" w:hAnsi="Times New Roman" w:cs="Times New Roman"/>
      <w:sz w:val="24"/>
      <w:szCs w:val="20"/>
      <w:lang w:val="fr-FR" w:eastAsia="en-GB"/>
    </w:rPr>
  </w:style>
  <w:style w:type="paragraph" w:styleId="ListBullet5">
    <w:name w:val="List Bullet 5"/>
    <w:basedOn w:val="Normal"/>
    <w:autoRedefine/>
    <w:pPr>
      <w:numPr>
        <w:numId w:val="6"/>
      </w:numPr>
    </w:pPr>
    <w:rPr>
      <w:lang w:eastAsia="en-US"/>
    </w:rPr>
  </w:style>
  <w:style w:type="paragraph" w:customStyle="1" w:styleId="ListBullet1">
    <w:name w:val="List Bullet 1"/>
    <w:basedOn w:val="Text1"/>
    <w:pPr>
      <w:numPr>
        <w:numId w:val="7"/>
      </w:numPr>
    </w:pPr>
    <w:rPr>
      <w:lang w:eastAsia="en-US"/>
    </w:rPr>
  </w:style>
  <w:style w:type="paragraph" w:customStyle="1" w:styleId="text10">
    <w:name w:val="text1"/>
    <w:basedOn w:val="Normal"/>
    <w:pPr>
      <w:spacing w:before="100" w:beforeAutospacing="1" w:after="100" w:afterAutospacing="1"/>
      <w:jc w:val="left"/>
    </w:pPr>
    <w:rPr>
      <w:szCs w:val="24"/>
    </w:rPr>
  </w:style>
  <w:style w:type="paragraph" w:customStyle="1" w:styleId="li">
    <w:name w:val="li"/>
    <w:basedOn w:val="Normal"/>
    <w:pPr>
      <w:spacing w:before="100" w:beforeAutospacing="1" w:after="100" w:afterAutospacing="1"/>
      <w:jc w:val="left"/>
    </w:pPr>
    <w:rPr>
      <w:szCs w:val="24"/>
    </w:rPr>
  </w:style>
  <w:style w:type="character" w:customStyle="1" w:styleId="num">
    <w:name w:val="num"/>
    <w:basedOn w:val="DefaultParagraphFont"/>
  </w:style>
  <w:style w:type="character" w:customStyle="1" w:styleId="footnotereference0">
    <w:name w:val="footnotereference"/>
    <w:basedOn w:val="DefaultParagraphFont"/>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ubTitle2">
    <w:name w:val="SubTitle 2"/>
    <w:basedOn w:val="Normal"/>
    <w:pPr>
      <w:jc w:val="center"/>
    </w:pPr>
    <w:rPr>
      <w:b/>
      <w:sz w:val="32"/>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lang w:eastAsia="fr-B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fr-BE"/>
    </w:rPr>
  </w:style>
  <w:style w:type="character" w:customStyle="1" w:styleId="tab">
    <w:name w:val="tab"/>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table" w:customStyle="1" w:styleId="GridTable4-Accent510">
    <w:name w:val="Grid Table 4 - Accent 51"/>
    <w:basedOn w:val="TableNormal"/>
    <w:next w:val="GridTable4-Accent51"/>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ragraph">
    <w:name w:val="paragraph"/>
    <w:basedOn w:val="Normal"/>
    <w:pPr>
      <w:spacing w:before="100" w:beforeAutospacing="1" w:after="100" w:afterAutospacing="1"/>
      <w:jc w:val="left"/>
    </w:pPr>
    <w:rPr>
      <w:szCs w:val="24"/>
    </w:rPr>
  </w:style>
  <w:style w:type="character" w:customStyle="1" w:styleId="normaltextrun">
    <w:name w:val="normaltextrun"/>
    <w:basedOn w:val="DefaultParagraphFont"/>
  </w:style>
  <w:style w:type="character" w:customStyle="1" w:styleId="eop">
    <w:name w:val="eop"/>
    <w:basedOn w:val="DefaultParagraphFont"/>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character" w:customStyle="1" w:styleId="Marker">
    <w:name w:val="Marker"/>
    <w:basedOn w:val="DefaultParagraphFont"/>
    <w:rsid w:val="00BE7D43"/>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smallCaps w:val="0"/>
      <w:sz w:val="24"/>
      <w:szCs w:val="20"/>
      <w:lang w:val="fr-FR"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smallCaps w:val="0"/>
      <w:sz w:val="32"/>
      <w:szCs w:val="20"/>
      <w:lang w:val="fr-FR" w:eastAsia="fr-BE"/>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Heading1Char"/>
    <w:link w:val="HeaderCoverPage"/>
    <w:rPr>
      <w:rFonts w:ascii="Times New Roman" w:eastAsia="Times New Roman" w:hAnsi="Times New Roman" w:cs="Times New Roman"/>
      <w:b w:val="0"/>
      <w:smallCaps w:val="0"/>
      <w:sz w:val="24"/>
      <w:szCs w:val="20"/>
      <w:lang w:val="fr-FR"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smallCaps w:val="0"/>
      <w:sz w:val="32"/>
      <w:szCs w:val="20"/>
      <w:lang w:val="fr-FR" w:eastAsia="fr-B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rFonts w:ascii="Times New Roman" w:eastAsia="Times New Roman" w:hAnsi="Times New Roman" w:cs="Times New Roman"/>
      <w:b w:val="0"/>
      <w:smallCaps w:val="0"/>
      <w:sz w:val="28"/>
      <w:szCs w:val="20"/>
      <w:lang w:val="fr-FR" w:eastAsia="fr-B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customStyle="1" w:styleId="LegalNumPar">
    <w:name w:val="LegalNumPar"/>
    <w:basedOn w:val="Normal"/>
    <w:pPr>
      <w:numPr>
        <w:numId w:val="27"/>
      </w:numPr>
      <w:spacing w:line="360" w:lineRule="auto"/>
    </w:pPr>
  </w:style>
  <w:style w:type="paragraph" w:customStyle="1" w:styleId="LegalNumPar2">
    <w:name w:val="LegalNumPar2"/>
    <w:basedOn w:val="Normal"/>
    <w:pPr>
      <w:numPr>
        <w:ilvl w:val="1"/>
        <w:numId w:val="27"/>
      </w:numPr>
      <w:spacing w:line="360" w:lineRule="auto"/>
    </w:pPr>
  </w:style>
  <w:style w:type="paragraph" w:customStyle="1" w:styleId="LegalNumPar3">
    <w:name w:val="LegalNumPar3"/>
    <w:basedOn w:val="Normal"/>
    <w:pPr>
      <w:numPr>
        <w:ilvl w:val="2"/>
        <w:numId w:val="27"/>
      </w:numPr>
      <w:spacing w:line="360" w:lineRule="auto"/>
    </w:pPr>
  </w:style>
  <w:style w:type="paragraph" w:customStyle="1" w:styleId="TechnicalBlock">
    <w:name w:val="Technical Block"/>
    <w:basedOn w:val="Normal"/>
    <w:link w:val="TechnicalBlockChar"/>
    <w:rsid w:val="00BE7D43"/>
    <w:pPr>
      <w:jc w:val="center"/>
    </w:pPr>
  </w:style>
  <w:style w:type="character" w:customStyle="1" w:styleId="TechnicalBlockChar">
    <w:name w:val="Technical Block Char"/>
    <w:basedOn w:val="DefaultParagraphFont"/>
    <w:link w:val="TechnicalBlock"/>
    <w:rsid w:val="00BE7D43"/>
    <w:rPr>
      <w:rFonts w:ascii="Times New Roman" w:eastAsia="Times New Roman" w:hAnsi="Times New Roman" w:cs="Times New Roman"/>
      <w:sz w:val="24"/>
      <w:szCs w:val="20"/>
      <w:lang w:eastAsia="fr-BE"/>
    </w:rPr>
  </w:style>
  <w:style w:type="paragraph" w:customStyle="1" w:styleId="EntText">
    <w:name w:val="EntText"/>
    <w:basedOn w:val="Normal"/>
    <w:rsid w:val="00BE7D43"/>
    <w:pPr>
      <w:spacing w:before="120" w:after="120" w:line="360" w:lineRule="auto"/>
      <w:jc w:val="left"/>
    </w:pPr>
    <w:rPr>
      <w:rFonts w:eastAsiaTheme="minorHAnsi"/>
      <w:szCs w:val="22"/>
      <w:lang w:eastAsia="en-US"/>
    </w:rPr>
  </w:style>
  <w:style w:type="paragraph" w:customStyle="1" w:styleId="Lignefinal">
    <w:name w:val="Ligne final"/>
    <w:basedOn w:val="Normal"/>
    <w:next w:val="Normal"/>
    <w:rsid w:val="00BE7D43"/>
    <w:pPr>
      <w:pBdr>
        <w:bottom w:val="single" w:sz="4" w:space="0" w:color="000000"/>
      </w:pBdr>
      <w:spacing w:before="360" w:after="120" w:line="360" w:lineRule="auto"/>
      <w:ind w:left="3400" w:right="3400"/>
      <w:jc w:val="center"/>
    </w:pPr>
    <w:rPr>
      <w:rFonts w:eastAsiaTheme="minorHAnsi"/>
      <w:b/>
      <w:szCs w:val="22"/>
      <w:lang w:eastAsia="en-US"/>
    </w:rPr>
  </w:style>
  <w:style w:type="paragraph" w:customStyle="1" w:styleId="pj">
    <w:name w:val="p.j."/>
    <w:basedOn w:val="Normal"/>
    <w:link w:val="pjChar"/>
    <w:rsid w:val="00BE7D43"/>
    <w:pPr>
      <w:spacing w:before="1200" w:after="120"/>
      <w:ind w:left="1440" w:hanging="1440"/>
      <w:jc w:val="left"/>
    </w:pPr>
  </w:style>
  <w:style w:type="character" w:customStyle="1" w:styleId="pjChar">
    <w:name w:val="p.j. Char"/>
    <w:basedOn w:val="TechnicalBlockChar"/>
    <w:link w:val="pj"/>
    <w:rsid w:val="00BE7D43"/>
    <w:rPr>
      <w:rFonts w:ascii="Times New Roman" w:eastAsia="Times New Roman" w:hAnsi="Times New Roman" w:cs="Times New Roman"/>
      <w:sz w:val="24"/>
      <w:szCs w:val="20"/>
      <w:lang w:eastAsia="fr-BE"/>
    </w:rPr>
  </w:style>
  <w:style w:type="paragraph" w:customStyle="1" w:styleId="nbbordered">
    <w:name w:val="nb bordered"/>
    <w:basedOn w:val="Normal"/>
    <w:link w:val="nbborderedChar"/>
    <w:rsid w:val="00BE7D43"/>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BE7D43"/>
    <w:rPr>
      <w:rFonts w:ascii="Times New Roman" w:eastAsia="Times New Roman" w:hAnsi="Times New Roman" w:cs="Times New Roman"/>
      <w:b/>
      <w:sz w:val="24"/>
      <w:szCs w:val="20"/>
      <w:lang w:eastAsia="fr-BE"/>
    </w:rPr>
  </w:style>
  <w:style w:type="paragraph" w:customStyle="1" w:styleId="HeaderCouncil">
    <w:name w:val="Header Council"/>
    <w:basedOn w:val="Normal"/>
    <w:link w:val="HeaderCouncilChar"/>
    <w:rsid w:val="00BE7D43"/>
    <w:pPr>
      <w:spacing w:after="0"/>
    </w:pPr>
    <w:rPr>
      <w:noProof/>
      <w:sz w:val="2"/>
    </w:rPr>
  </w:style>
  <w:style w:type="character" w:customStyle="1" w:styleId="HeaderCouncilChar">
    <w:name w:val="Header Council Char"/>
    <w:basedOn w:val="DefaultParagraphFont"/>
    <w:link w:val="HeaderCouncil"/>
    <w:rsid w:val="00BE7D43"/>
    <w:rPr>
      <w:rFonts w:ascii="Times New Roman" w:eastAsia="Times New Roman" w:hAnsi="Times New Roman" w:cs="Times New Roman"/>
      <w:noProof/>
      <w:sz w:val="2"/>
      <w:szCs w:val="20"/>
      <w:lang w:eastAsia="fr-BE"/>
    </w:rPr>
  </w:style>
  <w:style w:type="paragraph" w:customStyle="1" w:styleId="HeaderCouncilLarge">
    <w:name w:val="Header Council Large"/>
    <w:basedOn w:val="Normal"/>
    <w:link w:val="HeaderCouncilLargeChar"/>
    <w:rsid w:val="00BE7D43"/>
    <w:pPr>
      <w:spacing w:after="440"/>
    </w:pPr>
    <w:rPr>
      <w:noProof/>
      <w:sz w:val="2"/>
    </w:rPr>
  </w:style>
  <w:style w:type="character" w:customStyle="1" w:styleId="HeaderCouncilLargeChar">
    <w:name w:val="Header Council Large Char"/>
    <w:basedOn w:val="DefaultParagraphFont"/>
    <w:link w:val="HeaderCouncilLarge"/>
    <w:rsid w:val="00BE7D43"/>
    <w:rPr>
      <w:rFonts w:ascii="Times New Roman" w:eastAsia="Times New Roman" w:hAnsi="Times New Roman" w:cs="Times New Roman"/>
      <w:noProof/>
      <w:sz w:val="2"/>
      <w:szCs w:val="20"/>
      <w:lang w:eastAsia="fr-BE"/>
    </w:rPr>
  </w:style>
  <w:style w:type="paragraph" w:customStyle="1" w:styleId="FooterCouncil">
    <w:name w:val="Footer Council"/>
    <w:basedOn w:val="Normal"/>
    <w:link w:val="FooterCouncilChar"/>
    <w:rsid w:val="00BE7D43"/>
    <w:pPr>
      <w:spacing w:after="0"/>
    </w:pPr>
    <w:rPr>
      <w:noProof/>
      <w:sz w:val="2"/>
    </w:rPr>
  </w:style>
  <w:style w:type="character" w:customStyle="1" w:styleId="FooterCouncilChar">
    <w:name w:val="Footer Council Char"/>
    <w:basedOn w:val="DefaultParagraphFont"/>
    <w:link w:val="FooterCouncil"/>
    <w:rsid w:val="00BE7D43"/>
    <w:rPr>
      <w:rFonts w:ascii="Times New Roman" w:eastAsia="Times New Roman" w:hAnsi="Times New Roman" w:cs="Times New Roman"/>
      <w:noProof/>
      <w:sz w:val="2"/>
      <w:szCs w:val="20"/>
      <w:lang w:eastAsia="fr-BE"/>
    </w:rPr>
  </w:style>
  <w:style w:type="paragraph" w:customStyle="1" w:styleId="FooterText">
    <w:name w:val="Footer Text"/>
    <w:basedOn w:val="Normal"/>
    <w:rsid w:val="00BE7D43"/>
    <w:pPr>
      <w:spacing w:after="0"/>
      <w:jc w:val="left"/>
    </w:pPr>
    <w:rPr>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fr-BE"/>
    </w:rPr>
  </w:style>
  <w:style w:type="paragraph" w:styleId="Heading1">
    <w:name w:val="heading 1"/>
    <w:basedOn w:val="Normal"/>
    <w:next w:val="Text1"/>
    <w:link w:val="Heading1Char"/>
    <w:uiPriority w:val="90"/>
    <w:qFormat/>
    <w:pPr>
      <w:keepNext/>
      <w:numPr>
        <w:numId w:val="1"/>
      </w:numPr>
      <w:spacing w:before="240"/>
      <w:outlineLvl w:val="0"/>
    </w:pPr>
    <w:rPr>
      <w:b/>
      <w:smallCaps/>
    </w:rPr>
  </w:style>
  <w:style w:type="paragraph" w:styleId="Heading2">
    <w:name w:val="heading 2"/>
    <w:basedOn w:val="Normal"/>
    <w:next w:val="Text2"/>
    <w:link w:val="Heading2Char"/>
    <w:uiPriority w:val="90"/>
    <w:qFormat/>
    <w:pPr>
      <w:keepNext/>
      <w:numPr>
        <w:ilvl w:val="1"/>
        <w:numId w:val="1"/>
      </w:numPr>
      <w:outlineLvl w:val="1"/>
    </w:pPr>
    <w:rPr>
      <w:b/>
    </w:rPr>
  </w:style>
  <w:style w:type="paragraph" w:styleId="Heading3">
    <w:name w:val="heading 3"/>
    <w:basedOn w:val="Normal"/>
    <w:next w:val="Normal"/>
    <w:link w:val="Heading3Char"/>
    <w:uiPriority w:val="90"/>
    <w:qFormat/>
    <w:pPr>
      <w:keepNext/>
      <w:numPr>
        <w:ilvl w:val="2"/>
        <w:numId w:val="1"/>
      </w:numPr>
      <w:outlineLvl w:val="2"/>
    </w:pPr>
    <w:rPr>
      <w:i/>
    </w:rPr>
  </w:style>
  <w:style w:type="paragraph" w:styleId="Heading4">
    <w:name w:val="heading 4"/>
    <w:basedOn w:val="Normal"/>
    <w:next w:val="Normal"/>
    <w:link w:val="Heading4Char"/>
    <w:uiPriority w:val="90"/>
    <w:qFormat/>
    <w:pPr>
      <w:keepNext/>
      <w:numPr>
        <w:ilvl w:val="3"/>
        <w:numId w:val="1"/>
      </w:numPr>
      <w:outlineLvl w:val="3"/>
    </w:pPr>
  </w:style>
  <w:style w:type="paragraph" w:styleId="Heading5">
    <w:name w:val="heading 5"/>
    <w:basedOn w:val="Normal"/>
    <w:next w:val="Normal"/>
    <w:link w:val="Heading5Char"/>
    <w:semiHidden/>
    <w:qFormat/>
    <w:pPr>
      <w:keepNext/>
      <w:numPr>
        <w:ilvl w:val="4"/>
        <w:numId w:val="1"/>
      </w:numPr>
      <w:outlineLvl w:val="4"/>
    </w:pPr>
  </w:style>
  <w:style w:type="paragraph" w:styleId="Heading6">
    <w:name w:val="heading 6"/>
    <w:basedOn w:val="Normal"/>
    <w:next w:val="Normal"/>
    <w:link w:val="Heading6Char"/>
    <w:semiHidden/>
    <w:qFormat/>
    <w:pPr>
      <w:keepNext/>
      <w:numPr>
        <w:ilvl w:val="5"/>
        <w:numId w:val="1"/>
      </w:numPr>
      <w:outlineLvl w:val="5"/>
    </w:pPr>
  </w:style>
  <w:style w:type="paragraph" w:styleId="Heading7">
    <w:name w:val="heading 7"/>
    <w:basedOn w:val="Normal"/>
    <w:next w:val="Normal"/>
    <w:link w:val="Heading7Char"/>
    <w:semiHidden/>
    <w:qFormat/>
    <w:pPr>
      <w:keepNext/>
      <w:numPr>
        <w:ilvl w:val="6"/>
        <w:numId w:val="1"/>
      </w:numPr>
      <w:outlineLvl w:val="6"/>
    </w:pPr>
  </w:style>
  <w:style w:type="paragraph" w:styleId="Heading8">
    <w:name w:val="heading 8"/>
    <w:basedOn w:val="Normal"/>
    <w:next w:val="Normal"/>
    <w:link w:val="Heading8Char"/>
    <w:semiHidden/>
    <w:qFormat/>
    <w:pPr>
      <w:keepNext/>
      <w:numPr>
        <w:ilvl w:val="7"/>
        <w:numId w:val="1"/>
      </w:numPr>
      <w:outlineLvl w:val="7"/>
    </w:pPr>
  </w:style>
  <w:style w:type="paragraph" w:styleId="Heading9">
    <w:name w:val="heading 9"/>
    <w:basedOn w:val="Normal"/>
    <w:next w:val="Normal"/>
    <w:link w:val="Heading9Char"/>
    <w:semiHidden/>
    <w:qFormat/>
    <w:pPr>
      <w:keepNext/>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fr-FR" w:eastAsia="fr-BE"/>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fr-FR" w:eastAsia="fr-B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fr-FR" w:eastAsia="fr-BE"/>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fr-FR" w:eastAsia="fr-BE"/>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fr-FR" w:eastAsia="fr-BE"/>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fr-FR" w:eastAsia="fr-BE"/>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fr-FR" w:eastAsia="fr-BE"/>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fr-FR" w:eastAsia="fr-BE"/>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fr-FR" w:eastAsia="fr-BE"/>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SubTitle1">
    <w:name w:val="SubTitle 1"/>
    <w:basedOn w:val="Normal"/>
    <w:next w:val="Normal"/>
    <w:pPr>
      <w:jc w:val="center"/>
    </w:pPr>
    <w:rPr>
      <w:b/>
      <w:sz w:val="40"/>
    </w:rPr>
  </w:style>
  <w:style w:type="paragraph" w:styleId="Title">
    <w:name w:val="Title"/>
    <w:basedOn w:val="Normal"/>
    <w:next w:val="SubTitle1"/>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fr-FR" w:eastAsia="fr-BE"/>
    </w:rPr>
  </w:style>
  <w:style w:type="paragraph" w:customStyle="1" w:styleId="Text2">
    <w:name w:val="Text 2"/>
    <w:basedOn w:val="Normal"/>
    <w:uiPriority w:val="90"/>
    <w:qFormat/>
    <w:pPr>
      <w:ind w:left="1202"/>
    </w:pPr>
  </w:style>
  <w:style w:type="paragraph" w:customStyle="1" w:styleId="Text1">
    <w:name w:val="Text 1"/>
    <w:basedOn w:val="Normal"/>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val="fr-FR" w:eastAsia="fr-BE"/>
    </w:rPr>
  </w:style>
  <w:style w:type="paragraph" w:styleId="FootnoteText">
    <w:name w:val="footnote text"/>
    <w:basedOn w:val="Normal"/>
    <w:link w:val="FootnoteTextChar"/>
    <w:uiPriority w:val="99"/>
    <w:pPr>
      <w:spacing w:after="120"/>
      <w:ind w:left="357" w:hanging="357"/>
    </w:pPr>
    <w:rPr>
      <w:sz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fr-FR" w:eastAsia="fr-BE"/>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rFonts w:ascii="Times New Roman" w:eastAsia="Times New Roman" w:hAnsi="Times New Roman" w:cs="Times New Roman"/>
      <w:sz w:val="24"/>
      <w:szCs w:val="20"/>
      <w:lang w:val="fr-FR" w:eastAsia="fr-BE"/>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fr-BE"/>
    </w:rPr>
    <w:tblPr>
      <w:tblCellMar>
        <w:left w:w="0" w:type="dxa"/>
        <w:bottom w:w="340" w:type="dxa"/>
        <w:right w:w="0" w:type="dxa"/>
      </w:tblCellMar>
    </w:tblPr>
  </w:style>
  <w:style w:type="character" w:styleId="FootnoteReference">
    <w:name w:val="footnote reference"/>
    <w:basedOn w:val="DefaultParagraphFont"/>
    <w:uiPriority w:val="99"/>
    <w:rPr>
      <w:vertAlign w:val="superscript"/>
    </w:rPr>
  </w:style>
  <w:style w:type="character" w:styleId="PlaceholderText">
    <w:name w:val="Placeholder Text"/>
    <w:basedOn w:val="DefaultParagraphFont"/>
    <w:uiPriority w:val="99"/>
    <w:semiHidden/>
    <w:rPr>
      <w:color w:val="288061"/>
    </w:rPr>
  </w:style>
  <w:style w:type="paragraph" w:customStyle="1" w:styleId="ListDash4">
    <w:name w:val="List Dash 4"/>
    <w:basedOn w:val="Normal"/>
    <w:pPr>
      <w:numPr>
        <w:numId w:val="2"/>
      </w:numPr>
    </w:pPr>
  </w:style>
  <w:style w:type="paragraph" w:customStyle="1" w:styleId="ListDash4Level2">
    <w:name w:val="List Dash 4 (Level 2)"/>
    <w:basedOn w:val="Normal"/>
    <w:pPr>
      <w:numPr>
        <w:ilvl w:val="1"/>
        <w:numId w:val="2"/>
      </w:numPr>
    </w:pPr>
  </w:style>
  <w:style w:type="paragraph" w:customStyle="1" w:styleId="ListDash4Level3">
    <w:name w:val="List Dash 4 (Level 3)"/>
    <w:basedOn w:val="Normal"/>
    <w:semiHidden/>
    <w:unhideWhenUsed/>
    <w:pPr>
      <w:numPr>
        <w:ilvl w:val="2"/>
        <w:numId w:val="2"/>
      </w:numPr>
    </w:pPr>
  </w:style>
  <w:style w:type="paragraph" w:customStyle="1" w:styleId="ListDash4Level4">
    <w:name w:val="List Dash 4 (Level 4)"/>
    <w:basedOn w:val="Normal"/>
    <w:semiHidden/>
    <w:unhideWhenUsed/>
    <w:pPr>
      <w:numPr>
        <w:ilvl w:val="3"/>
        <w:numId w:val="2"/>
      </w:numPr>
    </w:pPr>
  </w:style>
  <w:style w:type="paragraph" w:styleId="ListNumber">
    <w:name w:val="List Number"/>
    <w:basedOn w:val="Normal"/>
    <w:pPr>
      <w:numPr>
        <w:numId w:val="3"/>
      </w:numPr>
    </w:pPr>
  </w:style>
  <w:style w:type="paragraph" w:customStyle="1" w:styleId="ListNumberLevel2">
    <w:name w:val="List Number (Level 2)"/>
    <w:basedOn w:val="Normal"/>
    <w:pPr>
      <w:numPr>
        <w:ilvl w:val="1"/>
        <w:numId w:val="3"/>
      </w:numPr>
    </w:pPr>
  </w:style>
  <w:style w:type="paragraph" w:customStyle="1" w:styleId="ListNumberLevel3">
    <w:name w:val="List Number (Level 3)"/>
    <w:basedOn w:val="Normal"/>
    <w:unhideWhenUsed/>
    <w:pPr>
      <w:numPr>
        <w:ilvl w:val="2"/>
        <w:numId w:val="3"/>
      </w:numPr>
    </w:pPr>
  </w:style>
  <w:style w:type="paragraph" w:customStyle="1" w:styleId="ListNumberLevel4">
    <w:name w:val="List Number (Level 4)"/>
    <w:basedOn w:val="Normal"/>
    <w:unhideWhenUsed/>
    <w:pPr>
      <w:numPr>
        <w:ilvl w:val="3"/>
        <w:numId w:val="3"/>
      </w:numPr>
    </w:pPr>
  </w:style>
  <w:style w:type="paragraph" w:styleId="ListParagraph">
    <w:name w:val="List Paragraph"/>
    <w:basedOn w:val="Normal"/>
    <w:uiPriority w:val="34"/>
    <w:qFormat/>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fr-FR" w:eastAsia="fr-B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r-FR" w:eastAsia="fr-BE"/>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fr-FR" w:eastAsia="fr-BE"/>
    </w:rPr>
  </w:style>
  <w:style w:type="paragraph" w:customStyle="1" w:styleId="ListDash1">
    <w:name w:val="List Dash 1"/>
    <w:basedOn w:val="Text1"/>
    <w:pPr>
      <w:numPr>
        <w:numId w:val="5"/>
      </w:numPr>
    </w:pPr>
  </w:style>
  <w:style w:type="paragraph" w:customStyle="1" w:styleId="ListDash1Level2">
    <w:name w:val="List Dash 1 (Level 2)"/>
    <w:basedOn w:val="Text1"/>
    <w:pPr>
      <w:numPr>
        <w:ilvl w:val="1"/>
        <w:numId w:val="5"/>
      </w:numPr>
    </w:pPr>
  </w:style>
  <w:style w:type="paragraph" w:customStyle="1" w:styleId="ListDash1Level3">
    <w:name w:val="List Dash 1 (Level 3)"/>
    <w:basedOn w:val="Text1"/>
    <w:semiHidden/>
    <w:unhideWhenUsed/>
    <w:pPr>
      <w:numPr>
        <w:ilvl w:val="2"/>
        <w:numId w:val="5"/>
      </w:numPr>
    </w:pPr>
  </w:style>
  <w:style w:type="paragraph" w:customStyle="1" w:styleId="ListDash1Level4">
    <w:name w:val="List Dash 1 (Level 4)"/>
    <w:basedOn w:val="Text1"/>
    <w:semiHidden/>
    <w:unhideWhenUsed/>
    <w:pPr>
      <w:numPr>
        <w:ilvl w:val="3"/>
        <w:numId w:val="5"/>
      </w:numPr>
    </w:pPr>
  </w:style>
  <w:style w:type="table" w:styleId="TableGrid">
    <w:name w:val="Table Grid"/>
    <w:basedOn w:val="TableNormal"/>
    <w:uiPriority w:val="39"/>
    <w:pPr>
      <w:spacing w:after="0" w:line="240" w:lineRule="auto"/>
    </w:pPr>
    <w:rPr>
      <w:rFonts w:ascii="Times New Roman" w:eastAsia="Times New Roman" w:hAnsi="Times New Roman" w:cs="Times New Roman"/>
      <w:sz w:val="24"/>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Pr>
      <w:color w:val="0563C1" w:themeColor="hyperlink"/>
      <w:u w:val="single"/>
    </w:rPr>
  </w:style>
  <w:style w:type="paragraph" w:customStyle="1" w:styleId="Normal12Hanging">
    <w:name w:val="Normal12Hanging"/>
    <w:basedOn w:val="Normal"/>
    <w:link w:val="Normal12HangingChar"/>
    <w:pPr>
      <w:widowControl w:val="0"/>
      <w:ind w:left="567" w:hanging="567"/>
      <w:jc w:val="left"/>
    </w:pPr>
    <w:rPr>
      <w:lang w:eastAsia="en-GB"/>
    </w:rPr>
  </w:style>
  <w:style w:type="paragraph" w:customStyle="1" w:styleId="NormalHanging12a">
    <w:name w:val="NormalHanging12a"/>
    <w:basedOn w:val="Normal"/>
    <w:link w:val="NormalHanging12aChar"/>
    <w:pPr>
      <w:widowControl w:val="0"/>
      <w:ind w:left="567" w:hanging="567"/>
      <w:jc w:val="left"/>
    </w:pPr>
    <w:rPr>
      <w:lang w:eastAsia="en-GB"/>
    </w:rPr>
  </w:style>
  <w:style w:type="character" w:customStyle="1" w:styleId="NormalHanging12aChar">
    <w:name w:val="NormalHanging12a Char"/>
    <w:link w:val="NormalHanging12a"/>
    <w:rPr>
      <w:rFonts w:ascii="Times New Roman" w:eastAsia="Times New Roman" w:hAnsi="Times New Roman" w:cs="Times New Roman"/>
      <w:sz w:val="24"/>
      <w:szCs w:val="20"/>
      <w:lang w:val="fr-FR" w:eastAsia="en-GB"/>
    </w:rPr>
  </w:style>
  <w:style w:type="character" w:customStyle="1" w:styleId="Normal12HangingChar">
    <w:name w:val="Normal12Hanging Char"/>
    <w:link w:val="Normal12Hanging"/>
    <w:locked/>
    <w:rPr>
      <w:rFonts w:ascii="Times New Roman" w:eastAsia="Times New Roman" w:hAnsi="Times New Roman" w:cs="Times New Roman"/>
      <w:sz w:val="24"/>
      <w:szCs w:val="20"/>
      <w:lang w:val="fr-FR" w:eastAsia="en-GB"/>
    </w:rPr>
  </w:style>
  <w:style w:type="paragraph" w:styleId="ListBullet5">
    <w:name w:val="List Bullet 5"/>
    <w:basedOn w:val="Normal"/>
    <w:autoRedefine/>
    <w:pPr>
      <w:numPr>
        <w:numId w:val="6"/>
      </w:numPr>
    </w:pPr>
    <w:rPr>
      <w:lang w:eastAsia="en-US"/>
    </w:rPr>
  </w:style>
  <w:style w:type="paragraph" w:customStyle="1" w:styleId="ListBullet1">
    <w:name w:val="List Bullet 1"/>
    <w:basedOn w:val="Text1"/>
    <w:pPr>
      <w:numPr>
        <w:numId w:val="7"/>
      </w:numPr>
    </w:pPr>
    <w:rPr>
      <w:lang w:eastAsia="en-US"/>
    </w:rPr>
  </w:style>
  <w:style w:type="paragraph" w:customStyle="1" w:styleId="text10">
    <w:name w:val="text1"/>
    <w:basedOn w:val="Normal"/>
    <w:pPr>
      <w:spacing w:before="100" w:beforeAutospacing="1" w:after="100" w:afterAutospacing="1"/>
      <w:jc w:val="left"/>
    </w:pPr>
    <w:rPr>
      <w:szCs w:val="24"/>
    </w:rPr>
  </w:style>
  <w:style w:type="paragraph" w:customStyle="1" w:styleId="li">
    <w:name w:val="li"/>
    <w:basedOn w:val="Normal"/>
    <w:pPr>
      <w:spacing w:before="100" w:beforeAutospacing="1" w:after="100" w:afterAutospacing="1"/>
      <w:jc w:val="left"/>
    </w:pPr>
    <w:rPr>
      <w:szCs w:val="24"/>
    </w:rPr>
  </w:style>
  <w:style w:type="character" w:customStyle="1" w:styleId="num">
    <w:name w:val="num"/>
    <w:basedOn w:val="DefaultParagraphFont"/>
  </w:style>
  <w:style w:type="character" w:customStyle="1" w:styleId="footnotereference0">
    <w:name w:val="footnotereference"/>
    <w:basedOn w:val="DefaultParagraphFont"/>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ubTitle2">
    <w:name w:val="SubTitle 2"/>
    <w:basedOn w:val="Normal"/>
    <w:pPr>
      <w:jc w:val="center"/>
    </w:pPr>
    <w:rPr>
      <w:b/>
      <w:sz w:val="32"/>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lang w:eastAsia="fr-B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fr-BE"/>
    </w:rPr>
  </w:style>
  <w:style w:type="character" w:customStyle="1" w:styleId="tab">
    <w:name w:val="tab"/>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table" w:customStyle="1" w:styleId="GridTable4-Accent510">
    <w:name w:val="Grid Table 4 - Accent 51"/>
    <w:basedOn w:val="TableNormal"/>
    <w:next w:val="GridTable4-Accent51"/>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ragraph">
    <w:name w:val="paragraph"/>
    <w:basedOn w:val="Normal"/>
    <w:pPr>
      <w:spacing w:before="100" w:beforeAutospacing="1" w:after="100" w:afterAutospacing="1"/>
      <w:jc w:val="left"/>
    </w:pPr>
    <w:rPr>
      <w:szCs w:val="24"/>
    </w:rPr>
  </w:style>
  <w:style w:type="character" w:customStyle="1" w:styleId="normaltextrun">
    <w:name w:val="normaltextrun"/>
    <w:basedOn w:val="DefaultParagraphFont"/>
  </w:style>
  <w:style w:type="character" w:customStyle="1" w:styleId="eop">
    <w:name w:val="eop"/>
    <w:basedOn w:val="DefaultParagraphFont"/>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character" w:customStyle="1" w:styleId="Marker">
    <w:name w:val="Marker"/>
    <w:basedOn w:val="DefaultParagraphFont"/>
    <w:rsid w:val="00BE7D43"/>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smallCaps w:val="0"/>
      <w:sz w:val="24"/>
      <w:szCs w:val="20"/>
      <w:lang w:val="fr-FR"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smallCaps w:val="0"/>
      <w:sz w:val="32"/>
      <w:szCs w:val="20"/>
      <w:lang w:val="fr-FR" w:eastAsia="fr-BE"/>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Heading1Char"/>
    <w:link w:val="HeaderCoverPage"/>
    <w:rPr>
      <w:rFonts w:ascii="Times New Roman" w:eastAsia="Times New Roman" w:hAnsi="Times New Roman" w:cs="Times New Roman"/>
      <w:b w:val="0"/>
      <w:smallCaps w:val="0"/>
      <w:sz w:val="24"/>
      <w:szCs w:val="20"/>
      <w:lang w:val="fr-FR"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smallCaps w:val="0"/>
      <w:sz w:val="32"/>
      <w:szCs w:val="20"/>
      <w:lang w:val="fr-FR" w:eastAsia="fr-B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rFonts w:ascii="Times New Roman" w:eastAsia="Times New Roman" w:hAnsi="Times New Roman" w:cs="Times New Roman"/>
      <w:b w:val="0"/>
      <w:smallCaps w:val="0"/>
      <w:sz w:val="28"/>
      <w:szCs w:val="20"/>
      <w:lang w:val="fr-FR" w:eastAsia="fr-B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customStyle="1" w:styleId="LegalNumPar">
    <w:name w:val="LegalNumPar"/>
    <w:basedOn w:val="Normal"/>
    <w:pPr>
      <w:numPr>
        <w:numId w:val="27"/>
      </w:numPr>
      <w:spacing w:line="360" w:lineRule="auto"/>
    </w:pPr>
  </w:style>
  <w:style w:type="paragraph" w:customStyle="1" w:styleId="LegalNumPar2">
    <w:name w:val="LegalNumPar2"/>
    <w:basedOn w:val="Normal"/>
    <w:pPr>
      <w:numPr>
        <w:ilvl w:val="1"/>
        <w:numId w:val="27"/>
      </w:numPr>
      <w:spacing w:line="360" w:lineRule="auto"/>
    </w:pPr>
  </w:style>
  <w:style w:type="paragraph" w:customStyle="1" w:styleId="LegalNumPar3">
    <w:name w:val="LegalNumPar3"/>
    <w:basedOn w:val="Normal"/>
    <w:pPr>
      <w:numPr>
        <w:ilvl w:val="2"/>
        <w:numId w:val="27"/>
      </w:numPr>
      <w:spacing w:line="360" w:lineRule="auto"/>
    </w:pPr>
  </w:style>
  <w:style w:type="paragraph" w:customStyle="1" w:styleId="TechnicalBlock">
    <w:name w:val="Technical Block"/>
    <w:basedOn w:val="Normal"/>
    <w:link w:val="TechnicalBlockChar"/>
    <w:rsid w:val="00BE7D43"/>
    <w:pPr>
      <w:jc w:val="center"/>
    </w:pPr>
  </w:style>
  <w:style w:type="character" w:customStyle="1" w:styleId="TechnicalBlockChar">
    <w:name w:val="Technical Block Char"/>
    <w:basedOn w:val="DefaultParagraphFont"/>
    <w:link w:val="TechnicalBlock"/>
    <w:rsid w:val="00BE7D43"/>
    <w:rPr>
      <w:rFonts w:ascii="Times New Roman" w:eastAsia="Times New Roman" w:hAnsi="Times New Roman" w:cs="Times New Roman"/>
      <w:sz w:val="24"/>
      <w:szCs w:val="20"/>
      <w:lang w:eastAsia="fr-BE"/>
    </w:rPr>
  </w:style>
  <w:style w:type="paragraph" w:customStyle="1" w:styleId="EntText">
    <w:name w:val="EntText"/>
    <w:basedOn w:val="Normal"/>
    <w:rsid w:val="00BE7D43"/>
    <w:pPr>
      <w:spacing w:before="120" w:after="120" w:line="360" w:lineRule="auto"/>
      <w:jc w:val="left"/>
    </w:pPr>
    <w:rPr>
      <w:rFonts w:eastAsiaTheme="minorHAnsi"/>
      <w:szCs w:val="22"/>
      <w:lang w:eastAsia="en-US"/>
    </w:rPr>
  </w:style>
  <w:style w:type="paragraph" w:customStyle="1" w:styleId="Lignefinal">
    <w:name w:val="Ligne final"/>
    <w:basedOn w:val="Normal"/>
    <w:next w:val="Normal"/>
    <w:rsid w:val="00BE7D43"/>
    <w:pPr>
      <w:pBdr>
        <w:bottom w:val="single" w:sz="4" w:space="0" w:color="000000"/>
      </w:pBdr>
      <w:spacing w:before="360" w:after="120" w:line="360" w:lineRule="auto"/>
      <w:ind w:left="3400" w:right="3400"/>
      <w:jc w:val="center"/>
    </w:pPr>
    <w:rPr>
      <w:rFonts w:eastAsiaTheme="minorHAnsi"/>
      <w:b/>
      <w:szCs w:val="22"/>
      <w:lang w:eastAsia="en-US"/>
    </w:rPr>
  </w:style>
  <w:style w:type="paragraph" w:customStyle="1" w:styleId="pj">
    <w:name w:val="p.j."/>
    <w:basedOn w:val="Normal"/>
    <w:link w:val="pjChar"/>
    <w:rsid w:val="00BE7D43"/>
    <w:pPr>
      <w:spacing w:before="1200" w:after="120"/>
      <w:ind w:left="1440" w:hanging="1440"/>
      <w:jc w:val="left"/>
    </w:pPr>
  </w:style>
  <w:style w:type="character" w:customStyle="1" w:styleId="pjChar">
    <w:name w:val="p.j. Char"/>
    <w:basedOn w:val="TechnicalBlockChar"/>
    <w:link w:val="pj"/>
    <w:rsid w:val="00BE7D43"/>
    <w:rPr>
      <w:rFonts w:ascii="Times New Roman" w:eastAsia="Times New Roman" w:hAnsi="Times New Roman" w:cs="Times New Roman"/>
      <w:sz w:val="24"/>
      <w:szCs w:val="20"/>
      <w:lang w:eastAsia="fr-BE"/>
    </w:rPr>
  </w:style>
  <w:style w:type="paragraph" w:customStyle="1" w:styleId="nbbordered">
    <w:name w:val="nb bordered"/>
    <w:basedOn w:val="Normal"/>
    <w:link w:val="nbborderedChar"/>
    <w:rsid w:val="00BE7D43"/>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BE7D43"/>
    <w:rPr>
      <w:rFonts w:ascii="Times New Roman" w:eastAsia="Times New Roman" w:hAnsi="Times New Roman" w:cs="Times New Roman"/>
      <w:b/>
      <w:sz w:val="24"/>
      <w:szCs w:val="20"/>
      <w:lang w:eastAsia="fr-BE"/>
    </w:rPr>
  </w:style>
  <w:style w:type="paragraph" w:customStyle="1" w:styleId="HeaderCouncil">
    <w:name w:val="Header Council"/>
    <w:basedOn w:val="Normal"/>
    <w:link w:val="HeaderCouncilChar"/>
    <w:rsid w:val="00BE7D43"/>
    <w:pPr>
      <w:spacing w:after="0"/>
    </w:pPr>
    <w:rPr>
      <w:noProof/>
      <w:sz w:val="2"/>
    </w:rPr>
  </w:style>
  <w:style w:type="character" w:customStyle="1" w:styleId="HeaderCouncilChar">
    <w:name w:val="Header Council Char"/>
    <w:basedOn w:val="DefaultParagraphFont"/>
    <w:link w:val="HeaderCouncil"/>
    <w:rsid w:val="00BE7D43"/>
    <w:rPr>
      <w:rFonts w:ascii="Times New Roman" w:eastAsia="Times New Roman" w:hAnsi="Times New Roman" w:cs="Times New Roman"/>
      <w:noProof/>
      <w:sz w:val="2"/>
      <w:szCs w:val="20"/>
      <w:lang w:eastAsia="fr-BE"/>
    </w:rPr>
  </w:style>
  <w:style w:type="paragraph" w:customStyle="1" w:styleId="HeaderCouncilLarge">
    <w:name w:val="Header Council Large"/>
    <w:basedOn w:val="Normal"/>
    <w:link w:val="HeaderCouncilLargeChar"/>
    <w:rsid w:val="00BE7D43"/>
    <w:pPr>
      <w:spacing w:after="440"/>
    </w:pPr>
    <w:rPr>
      <w:noProof/>
      <w:sz w:val="2"/>
    </w:rPr>
  </w:style>
  <w:style w:type="character" w:customStyle="1" w:styleId="HeaderCouncilLargeChar">
    <w:name w:val="Header Council Large Char"/>
    <w:basedOn w:val="DefaultParagraphFont"/>
    <w:link w:val="HeaderCouncilLarge"/>
    <w:rsid w:val="00BE7D43"/>
    <w:rPr>
      <w:rFonts w:ascii="Times New Roman" w:eastAsia="Times New Roman" w:hAnsi="Times New Roman" w:cs="Times New Roman"/>
      <w:noProof/>
      <w:sz w:val="2"/>
      <w:szCs w:val="20"/>
      <w:lang w:eastAsia="fr-BE"/>
    </w:rPr>
  </w:style>
  <w:style w:type="paragraph" w:customStyle="1" w:styleId="FooterCouncil">
    <w:name w:val="Footer Council"/>
    <w:basedOn w:val="Normal"/>
    <w:link w:val="FooterCouncilChar"/>
    <w:rsid w:val="00BE7D43"/>
    <w:pPr>
      <w:spacing w:after="0"/>
    </w:pPr>
    <w:rPr>
      <w:noProof/>
      <w:sz w:val="2"/>
    </w:rPr>
  </w:style>
  <w:style w:type="character" w:customStyle="1" w:styleId="FooterCouncilChar">
    <w:name w:val="Footer Council Char"/>
    <w:basedOn w:val="DefaultParagraphFont"/>
    <w:link w:val="FooterCouncil"/>
    <w:rsid w:val="00BE7D43"/>
    <w:rPr>
      <w:rFonts w:ascii="Times New Roman" w:eastAsia="Times New Roman" w:hAnsi="Times New Roman" w:cs="Times New Roman"/>
      <w:noProof/>
      <w:sz w:val="2"/>
      <w:szCs w:val="20"/>
      <w:lang w:eastAsia="fr-BE"/>
    </w:rPr>
  </w:style>
  <w:style w:type="paragraph" w:customStyle="1" w:styleId="FooterText">
    <w:name w:val="Footer Text"/>
    <w:basedOn w:val="Normal"/>
    <w:rsid w:val="00BE7D43"/>
    <w:pPr>
      <w:spacing w:after="0"/>
      <w:jc w:val="left"/>
    </w:pPr>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0892">
      <w:bodyDiv w:val="1"/>
      <w:marLeft w:val="0"/>
      <w:marRight w:val="0"/>
      <w:marTop w:val="0"/>
      <w:marBottom w:val="0"/>
      <w:divBdr>
        <w:top w:val="none" w:sz="0" w:space="0" w:color="auto"/>
        <w:left w:val="none" w:sz="0" w:space="0" w:color="auto"/>
        <w:bottom w:val="none" w:sz="0" w:space="0" w:color="auto"/>
        <w:right w:val="none" w:sz="0" w:space="0" w:color="auto"/>
      </w:divBdr>
    </w:div>
    <w:div w:id="783429448">
      <w:bodyDiv w:val="1"/>
      <w:marLeft w:val="0"/>
      <w:marRight w:val="0"/>
      <w:marTop w:val="0"/>
      <w:marBottom w:val="0"/>
      <w:divBdr>
        <w:top w:val="none" w:sz="0" w:space="0" w:color="auto"/>
        <w:left w:val="none" w:sz="0" w:space="0" w:color="auto"/>
        <w:bottom w:val="none" w:sz="0" w:space="0" w:color="auto"/>
        <w:right w:val="none" w:sz="0" w:space="0" w:color="auto"/>
      </w:divBdr>
      <w:divsChild>
        <w:div w:id="590548566">
          <w:marLeft w:val="0"/>
          <w:marRight w:val="0"/>
          <w:marTop w:val="0"/>
          <w:marBottom w:val="0"/>
          <w:divBdr>
            <w:top w:val="none" w:sz="0" w:space="0" w:color="auto"/>
            <w:left w:val="none" w:sz="0" w:space="0" w:color="auto"/>
            <w:bottom w:val="none" w:sz="0" w:space="0" w:color="auto"/>
            <w:right w:val="none" w:sz="0" w:space="0" w:color="auto"/>
          </w:divBdr>
          <w:divsChild>
            <w:div w:id="2132044784">
              <w:marLeft w:val="0"/>
              <w:marRight w:val="0"/>
              <w:marTop w:val="0"/>
              <w:marBottom w:val="0"/>
              <w:divBdr>
                <w:top w:val="none" w:sz="0" w:space="0" w:color="auto"/>
                <w:left w:val="none" w:sz="0" w:space="0" w:color="auto"/>
                <w:bottom w:val="none" w:sz="0" w:space="0" w:color="auto"/>
                <w:right w:val="none" w:sz="0" w:space="0" w:color="auto"/>
              </w:divBdr>
              <w:divsChild>
                <w:div w:id="1604528825">
                  <w:marLeft w:val="0"/>
                  <w:marRight w:val="0"/>
                  <w:marTop w:val="0"/>
                  <w:marBottom w:val="0"/>
                  <w:divBdr>
                    <w:top w:val="none" w:sz="0" w:space="0" w:color="auto"/>
                    <w:left w:val="none" w:sz="0" w:space="0" w:color="auto"/>
                    <w:bottom w:val="none" w:sz="0" w:space="0" w:color="auto"/>
                    <w:right w:val="none" w:sz="0" w:space="0" w:color="auto"/>
                  </w:divBdr>
                  <w:divsChild>
                    <w:div w:id="1473406977">
                      <w:marLeft w:val="0"/>
                      <w:marRight w:val="0"/>
                      <w:marTop w:val="0"/>
                      <w:marBottom w:val="0"/>
                      <w:divBdr>
                        <w:top w:val="none" w:sz="0" w:space="0" w:color="auto"/>
                        <w:left w:val="none" w:sz="0" w:space="0" w:color="auto"/>
                        <w:bottom w:val="none" w:sz="0" w:space="0" w:color="auto"/>
                        <w:right w:val="none" w:sz="0" w:space="0" w:color="auto"/>
                      </w:divBdr>
                      <w:divsChild>
                        <w:div w:id="1589345884">
                          <w:marLeft w:val="0"/>
                          <w:marRight w:val="0"/>
                          <w:marTop w:val="0"/>
                          <w:marBottom w:val="0"/>
                          <w:divBdr>
                            <w:top w:val="none" w:sz="0" w:space="0" w:color="auto"/>
                            <w:left w:val="none" w:sz="0" w:space="0" w:color="auto"/>
                            <w:bottom w:val="none" w:sz="0" w:space="0" w:color="auto"/>
                            <w:right w:val="none" w:sz="0" w:space="0" w:color="auto"/>
                          </w:divBdr>
                        </w:div>
                        <w:div w:id="1003704541">
                          <w:marLeft w:val="0"/>
                          <w:marRight w:val="0"/>
                          <w:marTop w:val="0"/>
                          <w:marBottom w:val="0"/>
                          <w:divBdr>
                            <w:top w:val="none" w:sz="0" w:space="0" w:color="auto"/>
                            <w:left w:val="none" w:sz="0" w:space="0" w:color="auto"/>
                            <w:bottom w:val="none" w:sz="0" w:space="0" w:color="auto"/>
                            <w:right w:val="none" w:sz="0" w:space="0" w:color="auto"/>
                          </w:divBdr>
                          <w:divsChild>
                            <w:div w:id="4284694">
                              <w:marLeft w:val="0"/>
                              <w:marRight w:val="0"/>
                              <w:marTop w:val="0"/>
                              <w:marBottom w:val="0"/>
                              <w:divBdr>
                                <w:top w:val="none" w:sz="0" w:space="0" w:color="auto"/>
                                <w:left w:val="none" w:sz="0" w:space="0" w:color="auto"/>
                                <w:bottom w:val="none" w:sz="0" w:space="0" w:color="auto"/>
                                <w:right w:val="none" w:sz="0" w:space="0" w:color="auto"/>
                              </w:divBdr>
                              <w:divsChild>
                                <w:div w:id="719132770">
                                  <w:marLeft w:val="0"/>
                                  <w:marRight w:val="0"/>
                                  <w:marTop w:val="0"/>
                                  <w:marBottom w:val="0"/>
                                  <w:divBdr>
                                    <w:top w:val="none" w:sz="0" w:space="0" w:color="auto"/>
                                    <w:left w:val="none" w:sz="0" w:space="0" w:color="auto"/>
                                    <w:bottom w:val="none" w:sz="0" w:space="0" w:color="auto"/>
                                    <w:right w:val="none" w:sz="0" w:space="0" w:color="auto"/>
                                  </w:divBdr>
                                  <w:divsChild>
                                    <w:div w:id="1042052491">
                                      <w:marLeft w:val="0"/>
                                      <w:marRight w:val="0"/>
                                      <w:marTop w:val="0"/>
                                      <w:marBottom w:val="0"/>
                                      <w:divBdr>
                                        <w:top w:val="none" w:sz="0" w:space="0" w:color="auto"/>
                                        <w:left w:val="none" w:sz="0" w:space="0" w:color="auto"/>
                                        <w:bottom w:val="none" w:sz="0" w:space="0" w:color="auto"/>
                                        <w:right w:val="none" w:sz="0" w:space="0" w:color="auto"/>
                                      </w:divBdr>
                                    </w:div>
                                    <w:div w:id="1306622579">
                                      <w:marLeft w:val="0"/>
                                      <w:marRight w:val="0"/>
                                      <w:marTop w:val="0"/>
                                      <w:marBottom w:val="0"/>
                                      <w:divBdr>
                                        <w:top w:val="none" w:sz="0" w:space="0" w:color="auto"/>
                                        <w:left w:val="none" w:sz="0" w:space="0" w:color="auto"/>
                                        <w:bottom w:val="none" w:sz="0" w:space="0" w:color="auto"/>
                                        <w:right w:val="none" w:sz="0" w:space="0" w:color="auto"/>
                                      </w:divBdr>
                                      <w:divsChild>
                                        <w:div w:id="16502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3928">
              <w:marLeft w:val="0"/>
              <w:marRight w:val="0"/>
              <w:marTop w:val="0"/>
              <w:marBottom w:val="0"/>
              <w:divBdr>
                <w:top w:val="none" w:sz="0" w:space="0" w:color="auto"/>
                <w:left w:val="none" w:sz="0" w:space="0" w:color="auto"/>
                <w:bottom w:val="none" w:sz="0" w:space="0" w:color="auto"/>
                <w:right w:val="none" w:sz="0" w:space="0" w:color="auto"/>
              </w:divBdr>
              <w:divsChild>
                <w:div w:id="1299382438">
                  <w:marLeft w:val="0"/>
                  <w:marRight w:val="0"/>
                  <w:marTop w:val="0"/>
                  <w:marBottom w:val="0"/>
                  <w:divBdr>
                    <w:top w:val="none" w:sz="0" w:space="0" w:color="auto"/>
                    <w:left w:val="none" w:sz="0" w:space="0" w:color="auto"/>
                    <w:bottom w:val="none" w:sz="0" w:space="0" w:color="auto"/>
                    <w:right w:val="none" w:sz="0" w:space="0" w:color="auto"/>
                  </w:divBdr>
                  <w:divsChild>
                    <w:div w:id="186799185">
                      <w:marLeft w:val="0"/>
                      <w:marRight w:val="0"/>
                      <w:marTop w:val="0"/>
                      <w:marBottom w:val="0"/>
                      <w:divBdr>
                        <w:top w:val="none" w:sz="0" w:space="0" w:color="auto"/>
                        <w:left w:val="none" w:sz="0" w:space="0" w:color="auto"/>
                        <w:bottom w:val="none" w:sz="0" w:space="0" w:color="auto"/>
                        <w:right w:val="none" w:sz="0" w:space="0" w:color="auto"/>
                      </w:divBdr>
                      <w:divsChild>
                        <w:div w:id="1480851473">
                          <w:marLeft w:val="0"/>
                          <w:marRight w:val="0"/>
                          <w:marTop w:val="0"/>
                          <w:marBottom w:val="0"/>
                          <w:divBdr>
                            <w:top w:val="none" w:sz="0" w:space="0" w:color="auto"/>
                            <w:left w:val="none" w:sz="0" w:space="0" w:color="auto"/>
                            <w:bottom w:val="none" w:sz="0" w:space="0" w:color="auto"/>
                            <w:right w:val="none" w:sz="0" w:space="0" w:color="auto"/>
                          </w:divBdr>
                          <w:divsChild>
                            <w:div w:id="1973632772">
                              <w:marLeft w:val="0"/>
                              <w:marRight w:val="0"/>
                              <w:marTop w:val="0"/>
                              <w:marBottom w:val="0"/>
                              <w:divBdr>
                                <w:top w:val="none" w:sz="0" w:space="0" w:color="auto"/>
                                <w:left w:val="none" w:sz="0" w:space="0" w:color="auto"/>
                                <w:bottom w:val="none" w:sz="0" w:space="0" w:color="auto"/>
                                <w:right w:val="none" w:sz="0" w:space="0" w:color="auto"/>
                              </w:divBdr>
                              <w:divsChild>
                                <w:div w:id="98139058">
                                  <w:marLeft w:val="0"/>
                                  <w:marRight w:val="0"/>
                                  <w:marTop w:val="0"/>
                                  <w:marBottom w:val="0"/>
                                  <w:divBdr>
                                    <w:top w:val="none" w:sz="0" w:space="0" w:color="auto"/>
                                    <w:left w:val="none" w:sz="0" w:space="0" w:color="auto"/>
                                    <w:bottom w:val="none" w:sz="0" w:space="0" w:color="auto"/>
                                    <w:right w:val="none" w:sz="0" w:space="0" w:color="auto"/>
                                  </w:divBdr>
                                </w:div>
                                <w:div w:id="113914686">
                                  <w:marLeft w:val="0"/>
                                  <w:marRight w:val="0"/>
                                  <w:marTop w:val="0"/>
                                  <w:marBottom w:val="0"/>
                                  <w:divBdr>
                                    <w:top w:val="none" w:sz="0" w:space="0" w:color="auto"/>
                                    <w:left w:val="none" w:sz="0" w:space="0" w:color="auto"/>
                                    <w:bottom w:val="none" w:sz="0" w:space="0" w:color="auto"/>
                                    <w:right w:val="none" w:sz="0" w:space="0" w:color="auto"/>
                                  </w:divBdr>
                                </w:div>
                              </w:divsChild>
                            </w:div>
                            <w:div w:id="1786385508">
                              <w:marLeft w:val="0"/>
                              <w:marRight w:val="0"/>
                              <w:marTop w:val="0"/>
                              <w:marBottom w:val="0"/>
                              <w:divBdr>
                                <w:top w:val="none" w:sz="0" w:space="0" w:color="auto"/>
                                <w:left w:val="none" w:sz="0" w:space="0" w:color="auto"/>
                                <w:bottom w:val="none" w:sz="0" w:space="0" w:color="auto"/>
                                <w:right w:val="none" w:sz="0" w:space="0" w:color="auto"/>
                              </w:divBdr>
                              <w:divsChild>
                                <w:div w:id="240214316">
                                  <w:marLeft w:val="0"/>
                                  <w:marRight w:val="0"/>
                                  <w:marTop w:val="0"/>
                                  <w:marBottom w:val="0"/>
                                  <w:divBdr>
                                    <w:top w:val="none" w:sz="0" w:space="0" w:color="auto"/>
                                    <w:left w:val="none" w:sz="0" w:space="0" w:color="auto"/>
                                    <w:bottom w:val="none" w:sz="0" w:space="0" w:color="auto"/>
                                    <w:right w:val="none" w:sz="0" w:space="0" w:color="auto"/>
                                  </w:divBdr>
                                </w:div>
                                <w:div w:id="19328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5188">
          <w:marLeft w:val="0"/>
          <w:marRight w:val="0"/>
          <w:marTop w:val="0"/>
          <w:marBottom w:val="0"/>
          <w:divBdr>
            <w:top w:val="none" w:sz="0" w:space="0" w:color="auto"/>
            <w:left w:val="none" w:sz="0" w:space="0" w:color="auto"/>
            <w:bottom w:val="none" w:sz="0" w:space="0" w:color="auto"/>
            <w:right w:val="none" w:sz="0" w:space="0" w:color="auto"/>
          </w:divBdr>
          <w:divsChild>
            <w:div w:id="772014171">
              <w:marLeft w:val="0"/>
              <w:marRight w:val="0"/>
              <w:marTop w:val="0"/>
              <w:marBottom w:val="0"/>
              <w:divBdr>
                <w:top w:val="none" w:sz="0" w:space="0" w:color="auto"/>
                <w:left w:val="none" w:sz="0" w:space="0" w:color="auto"/>
                <w:bottom w:val="none" w:sz="0" w:space="0" w:color="auto"/>
                <w:right w:val="none" w:sz="0" w:space="0" w:color="auto"/>
              </w:divBdr>
              <w:divsChild>
                <w:div w:id="2076470323">
                  <w:marLeft w:val="0"/>
                  <w:marRight w:val="0"/>
                  <w:marTop w:val="0"/>
                  <w:marBottom w:val="0"/>
                  <w:divBdr>
                    <w:top w:val="none" w:sz="0" w:space="0" w:color="auto"/>
                    <w:left w:val="none" w:sz="0" w:space="0" w:color="auto"/>
                    <w:bottom w:val="none" w:sz="0" w:space="0" w:color="auto"/>
                    <w:right w:val="none" w:sz="0" w:space="0" w:color="auto"/>
                  </w:divBdr>
                </w:div>
                <w:div w:id="299119512">
                  <w:marLeft w:val="0"/>
                  <w:marRight w:val="0"/>
                  <w:marTop w:val="0"/>
                  <w:marBottom w:val="0"/>
                  <w:divBdr>
                    <w:top w:val="none" w:sz="0" w:space="0" w:color="auto"/>
                    <w:left w:val="none" w:sz="0" w:space="0" w:color="auto"/>
                    <w:bottom w:val="none" w:sz="0" w:space="0" w:color="auto"/>
                    <w:right w:val="none" w:sz="0" w:space="0" w:color="auto"/>
                  </w:divBdr>
                </w:div>
                <w:div w:id="252664102">
                  <w:marLeft w:val="0"/>
                  <w:marRight w:val="0"/>
                  <w:marTop w:val="0"/>
                  <w:marBottom w:val="0"/>
                  <w:divBdr>
                    <w:top w:val="none" w:sz="0" w:space="0" w:color="auto"/>
                    <w:left w:val="none" w:sz="0" w:space="0" w:color="auto"/>
                    <w:bottom w:val="none" w:sz="0" w:space="0" w:color="auto"/>
                    <w:right w:val="none" w:sz="0" w:space="0" w:color="auto"/>
                  </w:divBdr>
                </w:div>
                <w:div w:id="1732729100">
                  <w:marLeft w:val="0"/>
                  <w:marRight w:val="0"/>
                  <w:marTop w:val="0"/>
                  <w:marBottom w:val="0"/>
                  <w:divBdr>
                    <w:top w:val="none" w:sz="0" w:space="0" w:color="auto"/>
                    <w:left w:val="none" w:sz="0" w:space="0" w:color="auto"/>
                    <w:bottom w:val="none" w:sz="0" w:space="0" w:color="auto"/>
                    <w:right w:val="none" w:sz="0" w:space="0" w:color="auto"/>
                  </w:divBdr>
                </w:div>
                <w:div w:id="1042905623">
                  <w:marLeft w:val="0"/>
                  <w:marRight w:val="0"/>
                  <w:marTop w:val="0"/>
                  <w:marBottom w:val="0"/>
                  <w:divBdr>
                    <w:top w:val="none" w:sz="0" w:space="0" w:color="auto"/>
                    <w:left w:val="none" w:sz="0" w:space="0" w:color="auto"/>
                    <w:bottom w:val="none" w:sz="0" w:space="0" w:color="auto"/>
                    <w:right w:val="none" w:sz="0" w:space="0" w:color="auto"/>
                  </w:divBdr>
                </w:div>
                <w:div w:id="1707365703">
                  <w:marLeft w:val="0"/>
                  <w:marRight w:val="0"/>
                  <w:marTop w:val="0"/>
                  <w:marBottom w:val="0"/>
                  <w:divBdr>
                    <w:top w:val="none" w:sz="0" w:space="0" w:color="auto"/>
                    <w:left w:val="none" w:sz="0" w:space="0" w:color="auto"/>
                    <w:bottom w:val="none" w:sz="0" w:space="0" w:color="auto"/>
                    <w:right w:val="none" w:sz="0" w:space="0" w:color="auto"/>
                  </w:divBdr>
                </w:div>
                <w:div w:id="110437305">
                  <w:marLeft w:val="0"/>
                  <w:marRight w:val="0"/>
                  <w:marTop w:val="0"/>
                  <w:marBottom w:val="0"/>
                  <w:divBdr>
                    <w:top w:val="none" w:sz="0" w:space="0" w:color="auto"/>
                    <w:left w:val="none" w:sz="0" w:space="0" w:color="auto"/>
                    <w:bottom w:val="none" w:sz="0" w:space="0" w:color="auto"/>
                    <w:right w:val="none" w:sz="0" w:space="0" w:color="auto"/>
                  </w:divBdr>
                </w:div>
                <w:div w:id="2706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2251">
      <w:bodyDiv w:val="1"/>
      <w:marLeft w:val="0"/>
      <w:marRight w:val="0"/>
      <w:marTop w:val="0"/>
      <w:marBottom w:val="0"/>
      <w:divBdr>
        <w:top w:val="none" w:sz="0" w:space="0" w:color="auto"/>
        <w:left w:val="none" w:sz="0" w:space="0" w:color="auto"/>
        <w:bottom w:val="none" w:sz="0" w:space="0" w:color="auto"/>
        <w:right w:val="none" w:sz="0" w:space="0" w:color="auto"/>
      </w:divBdr>
    </w:div>
    <w:div w:id="961035568">
      <w:bodyDiv w:val="1"/>
      <w:marLeft w:val="0"/>
      <w:marRight w:val="0"/>
      <w:marTop w:val="0"/>
      <w:marBottom w:val="0"/>
      <w:divBdr>
        <w:top w:val="none" w:sz="0" w:space="0" w:color="auto"/>
        <w:left w:val="none" w:sz="0" w:space="0" w:color="auto"/>
        <w:bottom w:val="none" w:sz="0" w:space="0" w:color="auto"/>
        <w:right w:val="none" w:sz="0" w:space="0" w:color="auto"/>
      </w:divBdr>
      <w:divsChild>
        <w:div w:id="120807702">
          <w:marLeft w:val="0"/>
          <w:marRight w:val="0"/>
          <w:marTop w:val="0"/>
          <w:marBottom w:val="0"/>
          <w:divBdr>
            <w:top w:val="none" w:sz="0" w:space="0" w:color="auto"/>
            <w:left w:val="none" w:sz="0" w:space="0" w:color="auto"/>
            <w:bottom w:val="none" w:sz="0" w:space="0" w:color="auto"/>
            <w:right w:val="none" w:sz="0" w:space="0" w:color="auto"/>
          </w:divBdr>
          <w:divsChild>
            <w:div w:id="1977444453">
              <w:marLeft w:val="0"/>
              <w:marRight w:val="0"/>
              <w:marTop w:val="0"/>
              <w:marBottom w:val="0"/>
              <w:divBdr>
                <w:top w:val="none" w:sz="0" w:space="0" w:color="auto"/>
                <w:left w:val="none" w:sz="0" w:space="0" w:color="auto"/>
                <w:bottom w:val="none" w:sz="0" w:space="0" w:color="auto"/>
                <w:right w:val="none" w:sz="0" w:space="0" w:color="auto"/>
              </w:divBdr>
              <w:divsChild>
                <w:div w:id="11095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5074">
      <w:bodyDiv w:val="1"/>
      <w:marLeft w:val="0"/>
      <w:marRight w:val="0"/>
      <w:marTop w:val="0"/>
      <w:marBottom w:val="0"/>
      <w:divBdr>
        <w:top w:val="none" w:sz="0" w:space="0" w:color="auto"/>
        <w:left w:val="none" w:sz="0" w:space="0" w:color="auto"/>
        <w:bottom w:val="none" w:sz="0" w:space="0" w:color="auto"/>
        <w:right w:val="none" w:sz="0" w:space="0" w:color="auto"/>
      </w:divBdr>
    </w:div>
    <w:div w:id="20671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2.xml"/><Relationship Id="rId21" Type="http://schemas.openxmlformats.org/officeDocument/2006/relationships/header" Target="header6.xml"/><Relationship Id="rId34" Type="http://schemas.openxmlformats.org/officeDocument/2006/relationships/image" Target="media/image4.emf"/><Relationship Id="rId42" Type="http://schemas.openxmlformats.org/officeDocument/2006/relationships/footer" Target="footer14.xml"/><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header" Target="header21.xml"/><Relationship Id="rId63" Type="http://schemas.openxmlformats.org/officeDocument/2006/relationships/header" Target="header24.xml"/><Relationship Id="rId68" Type="http://schemas.openxmlformats.org/officeDocument/2006/relationships/footer" Target="footer26.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header" Target="header20.xml"/><Relationship Id="rId58" Type="http://schemas.openxmlformats.org/officeDocument/2006/relationships/footer" Target="footer22.xml"/><Relationship Id="rId66" Type="http://schemas.openxmlformats.org/officeDocument/2006/relationships/footer" Target="footer25.xml"/><Relationship Id="rId74" Type="http://schemas.openxmlformats.org/officeDocument/2006/relationships/footer" Target="footer2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image" Target="media/image6.emf"/><Relationship Id="rId49" Type="http://schemas.openxmlformats.org/officeDocument/2006/relationships/header" Target="header18.xml"/><Relationship Id="rId57" Type="http://schemas.openxmlformats.org/officeDocument/2006/relationships/footer" Target="footer21.xml"/><Relationship Id="rId61" Type="http://schemas.openxmlformats.org/officeDocument/2006/relationships/image" Target="media/image7.emf"/><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6.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footer" Target="footer24.xml"/><Relationship Id="rId73" Type="http://schemas.openxmlformats.org/officeDocument/2006/relationships/header" Target="header29.xml"/><Relationship Id="R6d3af286461c4663"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emf"/><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image" Target="media/image5.emf"/><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header" Target="header22.xml"/><Relationship Id="rId64" Type="http://schemas.openxmlformats.org/officeDocument/2006/relationships/header" Target="header25.xml"/><Relationship Id="rId69"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footer" Target="footer2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image" Target="media/image3.emf"/><Relationship Id="rId38" Type="http://schemas.openxmlformats.org/officeDocument/2006/relationships/header" Target="header13.xml"/><Relationship Id="rId46" Type="http://schemas.openxmlformats.org/officeDocument/2006/relationships/footer" Target="footer16.xml"/><Relationship Id="rId59" Type="http://schemas.openxmlformats.org/officeDocument/2006/relationships/header" Target="header23.xml"/><Relationship Id="rId67" Type="http://schemas.openxmlformats.org/officeDocument/2006/relationships/header" Target="header26.xml"/><Relationship Id="rId20" Type="http://schemas.openxmlformats.org/officeDocument/2006/relationships/footer" Target="footer5.xml"/><Relationship Id="rId41" Type="http://schemas.openxmlformats.org/officeDocument/2006/relationships/header" Target="header14.xml"/><Relationship Id="rId54" Type="http://schemas.openxmlformats.org/officeDocument/2006/relationships/footer" Target="footer20.xml"/><Relationship Id="rId62" Type="http://schemas.openxmlformats.org/officeDocument/2006/relationships/image" Target="media/image8.emf"/><Relationship Id="rId70" Type="http://schemas.openxmlformats.org/officeDocument/2006/relationships/header" Target="header28.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84d713700e574271"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PDF/?uri=CELEX:32019D0165&amp;from=EN" TargetMode="External"/><Relationship Id="rId2" Type="http://schemas.openxmlformats.org/officeDocument/2006/relationships/hyperlink" Target="https://eur-lex.europa.eu/legal-content/FR/TXT/PDF/?uri=CELEX:52020DC0152&amp;from=EN" TargetMode="External"/><Relationship Id="rId1" Type="http://schemas.openxmlformats.org/officeDocument/2006/relationships/hyperlink" Target="https://www.eca.europa.eu/fr/Pages/DocItem.aspx?did=55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09744-C063-45F7-821C-27B7C19D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25921</Words>
  <Characters>147750</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2021-08-28T04:51:00Z</dcterms:created>
  <dcterms:modified xsi:type="dcterms:W3CDTF">2021-08-28T04:51:00Z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DocuWrite 4.5.2, Build 20210531</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y fmtid="{D5CDD505-2E9C-101B-9397-08002B2CF9AE}" pid="8" name="Created using">
    <vt:lpwstr>DocuWrite 4.5.2, Build 20210531</vt:lpwstr>
  </property>
</Properties>
</file>