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A8" w:rsidRDefault="00BA07F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58457F2-4362-47C1-A8D8-FEA5E2D3E26A" style="width:450.85pt;height:306pt">
            <v:imagedata r:id="rId14" o:title=""/>
          </v:shape>
        </w:pict>
      </w:r>
    </w:p>
    <w:bookmarkEnd w:id="0"/>
    <w:p w:rsidR="00855CA8" w:rsidRDefault="00855CA8">
      <w:pPr>
        <w:rPr>
          <w:noProof/>
          <w:lang w:eastAsia="hi-IN" w:bidi="hi-IN"/>
        </w:rPr>
        <w:sectPr w:rsidR="00855CA8">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855CA8" w:rsidRDefault="00A87C1F">
      <w:pPr>
        <w:pStyle w:val="Heading1"/>
        <w:rPr>
          <w:noProof/>
        </w:rPr>
      </w:pPr>
      <w:bookmarkStart w:id="1" w:name="Titre"/>
      <w:bookmarkEnd w:id="1"/>
      <w:r>
        <w:rPr>
          <w:noProof/>
        </w:rPr>
        <w:lastRenderedPageBreak/>
        <w:t>background</w:t>
      </w:r>
    </w:p>
    <w:p w:rsidR="00855CA8" w:rsidRDefault="00A87C1F">
      <w:pPr>
        <w:pStyle w:val="Text1"/>
        <w:ind w:left="0"/>
        <w:rPr>
          <w:i/>
          <w:iCs/>
          <w:noProof/>
          <w:lang w:val="en-IE"/>
        </w:rPr>
      </w:pPr>
      <w:r>
        <w:rPr>
          <w:noProof/>
        </w:rPr>
        <w:t xml:space="preserve">Since 2007, six executive agencies have been entrusted by the Commission with the implementation of spending programmes under the previous and current multiannual financial framework. Five agencies are currently located in Brussels, while the sixth is located in Luxembourg. </w:t>
      </w:r>
      <w:r>
        <w:rPr>
          <w:iCs/>
          <w:noProof/>
          <w:lang w:val="en-IE"/>
        </w:rPr>
        <w:t>The executive agencies are evaluated every three years and the latest evaluations show that the Brussels based agencies work well and have produced budgetary savings in the implementation costs of the programmes, thanks to their specialisation, large size and reduced cost per staff member</w:t>
      </w:r>
      <w:r>
        <w:rPr>
          <w:rStyle w:val="FootnoteReference"/>
          <w:iCs/>
          <w:noProof/>
          <w:lang w:val="en-IE"/>
        </w:rPr>
        <w:footnoteReference w:id="2"/>
      </w:r>
      <w:r>
        <w:rPr>
          <w:iCs/>
          <w:noProof/>
          <w:lang w:val="en-IE"/>
        </w:rPr>
        <w:t>.</w:t>
      </w:r>
      <w:r>
        <w:rPr>
          <w:i/>
          <w:iCs/>
          <w:noProof/>
          <w:lang w:val="en-IE"/>
        </w:rPr>
        <w:t xml:space="preserve"> </w:t>
      </w:r>
    </w:p>
    <w:p w:rsidR="00855CA8" w:rsidRDefault="00A87C1F">
      <w:pPr>
        <w:spacing w:before="120" w:after="120"/>
        <w:rPr>
          <w:rFonts w:ascii="Verdana" w:hAnsi="Verdana"/>
          <w:noProof/>
          <w:sz w:val="20"/>
        </w:rPr>
      </w:pPr>
      <w:r>
        <w:rPr>
          <w:noProof/>
          <w:lang w:val="en-IE"/>
        </w:rPr>
        <w:t xml:space="preserve">For the programmes of the 2021-2027 </w:t>
      </w:r>
      <w:r>
        <w:rPr>
          <w:noProof/>
        </w:rPr>
        <w:t>financial framework</w:t>
      </w:r>
      <w:r>
        <w:rPr>
          <w:noProof/>
          <w:lang w:val="en-IE"/>
        </w:rPr>
        <w:t xml:space="preserve">, </w:t>
      </w:r>
      <w:r>
        <w:rPr>
          <w:noProof/>
        </w:rPr>
        <w:t>Directorates-General envisage to increase the budget delegated to executive agencies overall by up to 53% in constant prices based on the Commission’s 2018 proposals for the next MFF. This increase results from (a) the increase of the budget of already delegated programmes, (b) the delegation of programmes currently implemented in the Directorates-General and (c) the delegation of the implementation of completely new programmes, i.e. not existing in the current financial framework.</w:t>
      </w:r>
    </w:p>
    <w:p w:rsidR="00855CA8" w:rsidRDefault="00A87C1F">
      <w:pPr>
        <w:spacing w:before="120" w:after="120"/>
        <w:rPr>
          <w:noProof/>
        </w:rPr>
      </w:pPr>
      <w:r>
        <w:rPr>
          <w:noProof/>
        </w:rPr>
        <w:t>The increase in delegated tasks, as well significant changes in the future Horizon programme</w:t>
      </w:r>
      <w:r>
        <w:rPr>
          <w:rStyle w:val="FootnoteReference"/>
          <w:noProof/>
        </w:rPr>
        <w:footnoteReference w:id="3"/>
      </w:r>
      <w:r>
        <w:rPr>
          <w:noProof/>
        </w:rPr>
        <w:t xml:space="preserve"> and new political priorities of the Commission, requires substantial changes to the portfolios of some of the executive agencies. Based on the feedback received during the intensive consultations of all stakeholders, the Corporate Management Board has recommended a proposal for the future agency portfolios, to be endorsed by the College and to be applied in the preparation of the delegation package.  </w:t>
      </w:r>
    </w:p>
    <w:p w:rsidR="00855CA8" w:rsidRDefault="00A87C1F">
      <w:pPr>
        <w:pStyle w:val="Heading1"/>
        <w:rPr>
          <w:noProof/>
        </w:rPr>
      </w:pPr>
      <w:r>
        <w:rPr>
          <w:noProof/>
        </w:rPr>
        <w:t>Criteria for allocation of programmes to the Executive Agencies 2021-2027</w:t>
      </w:r>
    </w:p>
    <w:p w:rsidR="00855CA8" w:rsidRDefault="00A87C1F">
      <w:pPr>
        <w:pStyle w:val="Text1"/>
        <w:ind w:left="0"/>
        <w:rPr>
          <w:noProof/>
        </w:rPr>
      </w:pPr>
      <w:r>
        <w:rPr>
          <w:noProof/>
        </w:rPr>
        <w:t>The proposal for the future agency portfolios is an optimisation based on four key criteria determined by the feedback given by both Directorates-General and executive agencies.</w:t>
      </w:r>
    </w:p>
    <w:p w:rsidR="00855CA8" w:rsidRDefault="00A87C1F">
      <w:pPr>
        <w:pStyle w:val="Text1"/>
        <w:numPr>
          <w:ilvl w:val="0"/>
          <w:numId w:val="45"/>
        </w:numPr>
        <w:spacing w:after="0"/>
        <w:rPr>
          <w:noProof/>
        </w:rPr>
      </w:pPr>
      <w:r>
        <w:rPr>
          <w:noProof/>
          <w:u w:val="single"/>
        </w:rPr>
        <w:t>Stability</w:t>
      </w:r>
      <w:r>
        <w:rPr>
          <w:noProof/>
        </w:rPr>
        <w:t>: in order to minimise disruption of programme implementation, unnecessary transfers of tasks between agencies are to be avoided.</w:t>
      </w:r>
    </w:p>
    <w:p w:rsidR="00855CA8" w:rsidRDefault="00A87C1F">
      <w:pPr>
        <w:pStyle w:val="Text1"/>
        <w:numPr>
          <w:ilvl w:val="0"/>
          <w:numId w:val="45"/>
        </w:numPr>
        <w:spacing w:after="0"/>
        <w:rPr>
          <w:noProof/>
        </w:rPr>
      </w:pPr>
      <w:r>
        <w:rPr>
          <w:noProof/>
          <w:u w:val="single"/>
        </w:rPr>
        <w:t>Portfolio coherence</w:t>
      </w:r>
      <w:r>
        <w:rPr>
          <w:noProof/>
        </w:rPr>
        <w:t xml:space="preserve">: different strands of the same programme should be grouped and implemented by the same agency. This is particularly relevant for the future Horizon Europe programme, the structure of which is significantly modified compared to the current Horizon 2020 programme.  </w:t>
      </w:r>
    </w:p>
    <w:p w:rsidR="00855CA8" w:rsidRDefault="00A87C1F">
      <w:pPr>
        <w:pStyle w:val="Text1"/>
        <w:numPr>
          <w:ilvl w:val="0"/>
          <w:numId w:val="45"/>
        </w:numPr>
        <w:spacing w:after="0"/>
        <w:rPr>
          <w:noProof/>
        </w:rPr>
      </w:pPr>
      <w:r>
        <w:rPr>
          <w:noProof/>
          <w:u w:val="single"/>
        </w:rPr>
        <w:t>Governance</w:t>
      </w:r>
      <w:r>
        <w:rPr>
          <w:noProof/>
        </w:rPr>
        <w:t>: grouping the different programmes of a delegating DG in the same agency to minimize supervision costs for the delegating DG and to facilitate governance of the agency by limiting the number of delegating DGs in each agency.</w:t>
      </w:r>
    </w:p>
    <w:p w:rsidR="00855CA8" w:rsidRDefault="00A87C1F">
      <w:pPr>
        <w:pStyle w:val="Text1"/>
        <w:numPr>
          <w:ilvl w:val="0"/>
          <w:numId w:val="45"/>
        </w:numPr>
        <w:spacing w:after="0"/>
        <w:rPr>
          <w:noProof/>
        </w:rPr>
      </w:pPr>
      <w:r>
        <w:rPr>
          <w:noProof/>
          <w:u w:val="single"/>
        </w:rPr>
        <w:t>Thematic consistency</w:t>
      </w:r>
      <w:r>
        <w:rPr>
          <w:noProof/>
        </w:rPr>
        <w:t xml:space="preserve"> in the agency portfolios to ensure synergies between programmes covering a given theme and to give visibility to the priorities of the Commission.</w:t>
      </w:r>
    </w:p>
    <w:p w:rsidR="00855CA8" w:rsidRDefault="00855CA8">
      <w:pPr>
        <w:pStyle w:val="Text1"/>
        <w:ind w:left="0"/>
        <w:rPr>
          <w:noProof/>
        </w:rPr>
      </w:pPr>
    </w:p>
    <w:p w:rsidR="00855CA8" w:rsidRDefault="00A87C1F">
      <w:pPr>
        <w:pStyle w:val="Text1"/>
        <w:ind w:left="0"/>
        <w:rPr>
          <w:noProof/>
        </w:rPr>
      </w:pPr>
      <w:r>
        <w:rPr>
          <w:noProof/>
        </w:rPr>
        <w:t>The proposed distribution of programmes is considered the best reconciliation achievable between the criteria.</w:t>
      </w:r>
    </w:p>
    <w:p w:rsidR="00855CA8" w:rsidRDefault="00A87C1F">
      <w:pPr>
        <w:pStyle w:val="Text1"/>
        <w:ind w:left="0"/>
        <w:rPr>
          <w:noProof/>
        </w:rPr>
      </w:pPr>
      <w:r>
        <w:rPr>
          <w:noProof/>
        </w:rPr>
        <w:t>Experience also confirms that size matters: agencies should have a sufficient size to be efficient. This supports the proposal not to increase the total number of agencies (i.e. six agencies) and to ensure that each of them reaches a critical size.</w:t>
      </w:r>
    </w:p>
    <w:p w:rsidR="00855CA8" w:rsidRDefault="00A87C1F">
      <w:pPr>
        <w:pStyle w:val="Text1"/>
        <w:ind w:left="0"/>
        <w:rPr>
          <w:noProof/>
        </w:rPr>
      </w:pPr>
      <w:r>
        <w:rPr>
          <w:noProof/>
        </w:rPr>
        <w:t xml:space="preserve">As illustrated in annex 1, movements of staff between agencies have been kept to a minimum. A maximum of 348 staff would have to move as a consequence of the restructuring of the Horizon programmes and only 235 staff as a result of thematic consistency. Of the latter, 79 would be linked to the proposed transfer of CHAFEA’s tasks and 156 staff would be transferred between agencies in Brussels. All staff identified to follow the programmes would be moved ‘en bloc’ to minimise any disruption of on-going programme implementation. </w:t>
      </w:r>
    </w:p>
    <w:p w:rsidR="00855CA8" w:rsidRDefault="00A87C1F">
      <w:pPr>
        <w:pStyle w:val="Heading1"/>
        <w:rPr>
          <w:noProof/>
        </w:rPr>
      </w:pPr>
      <w:r>
        <w:rPr>
          <w:noProof/>
        </w:rPr>
        <w:t xml:space="preserve">Proposal for future portfolios of Executive agencies </w:t>
      </w:r>
    </w:p>
    <w:p w:rsidR="00855CA8" w:rsidRDefault="00A87C1F">
      <w:pPr>
        <w:pStyle w:val="Text1"/>
        <w:ind w:left="0"/>
        <w:rPr>
          <w:noProof/>
        </w:rPr>
      </w:pPr>
      <w:r>
        <w:rPr>
          <w:noProof/>
        </w:rPr>
        <w:t xml:space="preserve">The proposed future portfolios the College is asked to endorse, are illustrated in annex 2 and briefly explained below. </w:t>
      </w:r>
    </w:p>
    <w:p w:rsidR="00855CA8" w:rsidRDefault="00A87C1F">
      <w:pPr>
        <w:pStyle w:val="6Bullet"/>
        <w:numPr>
          <w:ilvl w:val="0"/>
          <w:numId w:val="0"/>
        </w:numPr>
        <w:rPr>
          <w:rFonts w:eastAsiaTheme="minorHAnsi"/>
          <w:i/>
          <w:noProof/>
          <w:szCs w:val="24"/>
          <w:lang w:eastAsia="en-US"/>
        </w:rPr>
      </w:pPr>
      <w:r>
        <w:rPr>
          <w:rFonts w:eastAsiaTheme="minorHAnsi"/>
          <w:i/>
          <w:noProof/>
          <w:szCs w:val="24"/>
          <w:lang w:eastAsia="en-US"/>
        </w:rPr>
        <w:t>Transfer of the tasks of the Consumers, Health Agriculture and Food Executive Agency (CHAFEA) based in Luxembourg to Brussels based agencies</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The decision to propose the transfer of CHAFEA activities to other agencies has been considered carefully, both with regards to business continuity and staff but also in terms of the commitment of the Commission regarding staff presence in Luxembourg. A number of Commission proposals in the last years have ensured the creation of numerous high profile jobs in the European Investment Bank as well as the European Public Prosecutor’s Office, and the decision to transfer CHAFEA’s activities to other agencies therefore does not represent a reduced commitment to Commission presence in Luxembourg.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The most recent evaluation of the agency has, however, demonstrated that the agency is less cost efficient than the counterparts in Brussels. This is not only due to higher staff costs in Luxembourg (in particular for contract agents, which represent three quarters of the staff of executive agencies), but also to a sub-optimal size and a fragmented portfolio. In addition, the geographical distance between the DGs delegating programmes and the agency implementing the programme has complicated the coordination, whereas close coordination is key for delegation to work efficiently. The delegation of several additional programmes to CHAFEA has been considered but the Directorates-General concerned convincingly explained that the delegation to CHAFEA would have a considerable negative impact on the efficiency of implementation.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Given the increased pressure to contain administrative expenditure, it is paramount that the Commission ensures the most efficient implementation of the EU spending programmes. The transfer of all tasks to Brussels enables more coherent agency portfolios, an efficient size of all agencies as well as the possibility to develop synergies across agencies, both in programme management and administrative functions.</w:t>
      </w:r>
    </w:p>
    <w:p w:rsidR="00855CA8" w:rsidRDefault="00855CA8">
      <w:pPr>
        <w:pStyle w:val="6Bullet"/>
        <w:numPr>
          <w:ilvl w:val="0"/>
          <w:numId w:val="0"/>
        </w:numPr>
        <w:rPr>
          <w:rFonts w:eastAsiaTheme="minorHAnsi"/>
          <w:noProof/>
          <w:szCs w:val="24"/>
          <w:lang w:eastAsia="en-US"/>
        </w:rPr>
      </w:pPr>
    </w:p>
    <w:p w:rsidR="00855CA8" w:rsidRDefault="00A87C1F">
      <w:pPr>
        <w:spacing w:after="0"/>
        <w:jc w:val="left"/>
        <w:rPr>
          <w:rFonts w:eastAsiaTheme="minorHAnsi"/>
          <w:i/>
          <w:noProof/>
          <w:szCs w:val="24"/>
          <w:lang w:eastAsia="en-US"/>
        </w:rPr>
      </w:pPr>
      <w:r>
        <w:rPr>
          <w:rFonts w:eastAsiaTheme="minorHAnsi"/>
          <w:i/>
          <w:noProof/>
          <w:szCs w:val="24"/>
          <w:lang w:eastAsia="en-US"/>
        </w:rPr>
        <w:br w:type="page"/>
      </w:r>
    </w:p>
    <w:p w:rsidR="00855CA8" w:rsidRDefault="00A87C1F">
      <w:pPr>
        <w:pStyle w:val="6Bullet"/>
        <w:numPr>
          <w:ilvl w:val="0"/>
          <w:numId w:val="0"/>
        </w:numPr>
        <w:rPr>
          <w:rFonts w:eastAsiaTheme="minorHAnsi"/>
          <w:i/>
          <w:noProof/>
          <w:szCs w:val="24"/>
          <w:lang w:eastAsia="en-US"/>
        </w:rPr>
      </w:pPr>
      <w:r>
        <w:rPr>
          <w:rFonts w:eastAsiaTheme="minorHAnsi"/>
          <w:i/>
          <w:noProof/>
          <w:szCs w:val="24"/>
          <w:lang w:eastAsia="en-US"/>
        </w:rPr>
        <w:t xml:space="preserve">Stability in the portfolios of the European Education Executive Agency (former Education, Audio-visual and Culture Executive Agency - EACEA) and the European Research Council Executive Agency (ERCEA)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The portfolios of these two agencies are proposed to be kept stable, since they have both already reached a significant size in terms of staff, and each has specific traits that would complicate the implementation of additional programmes. </w:t>
      </w:r>
    </w:p>
    <w:p w:rsidR="00855CA8" w:rsidRDefault="00A87C1F">
      <w:pPr>
        <w:pStyle w:val="6Bullet"/>
        <w:numPr>
          <w:ilvl w:val="0"/>
          <w:numId w:val="0"/>
        </w:numPr>
        <w:rPr>
          <w:rFonts w:eastAsiaTheme="minorHAnsi"/>
          <w:i/>
          <w:noProof/>
          <w:szCs w:val="24"/>
          <w:lang w:eastAsia="en-US"/>
        </w:rPr>
      </w:pPr>
      <w:r>
        <w:rPr>
          <w:rFonts w:eastAsiaTheme="minorHAnsi"/>
          <w:noProof/>
          <w:szCs w:val="24"/>
          <w:lang w:eastAsia="en-US"/>
        </w:rPr>
        <w:t xml:space="preserve">In the case of EACEA, the agency already implements four different programmes and it is therefore proposed to prioritise stability for this agency, also in the light of an expected increase in the delegated budget for the Erasmus + programme.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As for ERCEA, the work of the agency, supporting fundamental research, is guided by a board of experts independent from the Commission. The European Research Council has produced significant results with the current structure and the atypical governance is not considered compatible at this stage with the implementation of other programmes or other parts of Horizon Europe. In order not to jeopardise the continued success of the European Research Council, it is suggested that no additional programmes are delegated to the agency.</w:t>
      </w:r>
    </w:p>
    <w:p w:rsidR="00855CA8" w:rsidRDefault="00A87C1F">
      <w:pPr>
        <w:pStyle w:val="6Bullet"/>
        <w:numPr>
          <w:ilvl w:val="0"/>
          <w:numId w:val="0"/>
        </w:numPr>
        <w:rPr>
          <w:rFonts w:eastAsiaTheme="minorHAnsi"/>
          <w:i/>
          <w:noProof/>
          <w:szCs w:val="24"/>
          <w:lang w:eastAsia="en-US"/>
        </w:rPr>
      </w:pPr>
      <w:r>
        <w:rPr>
          <w:rFonts w:eastAsiaTheme="minorHAnsi"/>
          <w:noProof/>
          <w:szCs w:val="24"/>
          <w:lang w:eastAsia="en-US"/>
        </w:rPr>
        <w:t xml:space="preserve"> </w:t>
      </w:r>
    </w:p>
    <w:p w:rsidR="00855CA8" w:rsidRDefault="00A87C1F">
      <w:pPr>
        <w:pStyle w:val="6Bullet"/>
        <w:numPr>
          <w:ilvl w:val="0"/>
          <w:numId w:val="0"/>
        </w:numPr>
        <w:rPr>
          <w:rFonts w:eastAsiaTheme="minorHAnsi"/>
          <w:i/>
          <w:noProof/>
          <w:szCs w:val="24"/>
          <w:lang w:eastAsia="en-US"/>
        </w:rPr>
      </w:pPr>
      <w:r>
        <w:rPr>
          <w:rFonts w:eastAsiaTheme="minorHAnsi"/>
          <w:i/>
          <w:noProof/>
          <w:szCs w:val="24"/>
          <w:lang w:eastAsia="en-US"/>
        </w:rPr>
        <w:t xml:space="preserve">The Research Executive Agency (REA) remains focussed on research activities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REA remains mainly focussed on the Horizon programme with limited reshuffling of Horizon activities between the current Executive Agency for Small and Medium-sized Enterprises (EASME) and the new Innovation Agency, to align the distribution of the activities with the new structure of Horizon Europe.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The Common Support Service is maintained in REA, in order not to disrupt a well-functioning entity and to avoid unnecessary staff transfers and the agency will take over a small programme from CHAFEA</w:t>
      </w:r>
      <w:r>
        <w:rPr>
          <w:rStyle w:val="FootnoteReference"/>
          <w:rFonts w:eastAsiaTheme="minorHAnsi"/>
          <w:noProof/>
          <w:szCs w:val="24"/>
          <w:lang w:eastAsia="en-US"/>
        </w:rPr>
        <w:footnoteReference w:id="4"/>
      </w:r>
      <w:r>
        <w:rPr>
          <w:rFonts w:eastAsiaTheme="minorHAnsi"/>
          <w:noProof/>
          <w:szCs w:val="24"/>
          <w:lang w:eastAsia="en-US"/>
        </w:rPr>
        <w:t>.</w:t>
      </w:r>
    </w:p>
    <w:p w:rsidR="00855CA8" w:rsidRDefault="00855CA8">
      <w:pPr>
        <w:pStyle w:val="6Bullet"/>
        <w:numPr>
          <w:ilvl w:val="0"/>
          <w:numId w:val="0"/>
        </w:numPr>
        <w:rPr>
          <w:rFonts w:eastAsiaTheme="minorHAnsi"/>
          <w:noProof/>
          <w:szCs w:val="24"/>
          <w:lang w:eastAsia="en-US"/>
        </w:rPr>
      </w:pPr>
    </w:p>
    <w:p w:rsidR="00855CA8" w:rsidRDefault="00A87C1F">
      <w:pPr>
        <w:pStyle w:val="6Bullet"/>
        <w:numPr>
          <w:ilvl w:val="0"/>
          <w:numId w:val="0"/>
        </w:numPr>
        <w:rPr>
          <w:rFonts w:eastAsiaTheme="minorHAnsi"/>
          <w:i/>
          <w:noProof/>
          <w:szCs w:val="24"/>
          <w:lang w:eastAsia="en-US"/>
        </w:rPr>
      </w:pPr>
      <w:r>
        <w:rPr>
          <w:rFonts w:eastAsiaTheme="minorHAnsi"/>
          <w:i/>
          <w:noProof/>
          <w:szCs w:val="24"/>
          <w:lang w:eastAsia="en-US"/>
        </w:rPr>
        <w:t>The Climate, Environment and Infrastructure Executive Agency - Successor of the Innovation and Networks Executive Agency (INEA)</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The agency has in the current period been focused on infrastructure activities through the implementation of the Connecting Europe Facility. Building public transport connections or more efficient energy supply networks are expected to have strong impact on the climate in the long term. In addition, as of June 2020, INEA will implement the Climate Innovation Fund, a fund that will be dedicated to supporting innovative ideas in the field of climate change.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Building on this foundation, it is proposed to entrust the agency with a portfolio that makes it also a climate and environment agency. The LIFE+ programme implements activities that limit the climate change and at the same time encourages the protection of the environment and promotes the energy transition. In addition to the LIFE+ programme and the Innovation Fund, the Horizon Europe’s cluster related to climate and mobility would strongly support the Commission’s priority of climate and the European Green Deal.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This creates a clear thematic focus of the agency and groups all delegated activities of DGs MOVE, ENER, CLIMA, and ENV in the agency. </w:t>
      </w:r>
    </w:p>
    <w:p w:rsidR="00855CA8" w:rsidRDefault="00855CA8">
      <w:pPr>
        <w:pStyle w:val="6Bullet"/>
        <w:numPr>
          <w:ilvl w:val="0"/>
          <w:numId w:val="0"/>
        </w:numPr>
        <w:rPr>
          <w:rFonts w:eastAsiaTheme="minorHAnsi"/>
          <w:i/>
          <w:noProof/>
          <w:szCs w:val="24"/>
          <w:lang w:eastAsia="en-US"/>
        </w:rPr>
      </w:pPr>
    </w:p>
    <w:p w:rsidR="00855CA8" w:rsidRDefault="00A87C1F">
      <w:pPr>
        <w:pStyle w:val="6Bullet"/>
        <w:numPr>
          <w:ilvl w:val="0"/>
          <w:numId w:val="0"/>
        </w:numPr>
        <w:rPr>
          <w:rFonts w:eastAsiaTheme="minorHAnsi"/>
          <w:i/>
          <w:noProof/>
          <w:szCs w:val="24"/>
          <w:lang w:eastAsia="en-US"/>
        </w:rPr>
      </w:pPr>
      <w:r>
        <w:rPr>
          <w:rFonts w:eastAsiaTheme="minorHAnsi"/>
          <w:i/>
          <w:noProof/>
          <w:szCs w:val="24"/>
          <w:lang w:eastAsia="en-US"/>
        </w:rPr>
        <w:t>The Digital, Small and Medium Sized Enterprises and Health Executive Agency – Successor of Executive Agency for Small and Medium-sized Enterprises (EASME)</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Bringing Europe to a digital age while leveraging the single market potential is another priority of the von der Leyen Commission. It is therefore proposed to create a strong economic portfolio grouping the digital programmes with the various strands of the Single Market programme. The objective is to create strong synergies between these programmes to support the European economy and in particular small and medium-sized enterprises.</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Building on existing tasks of the agency (COSME/SME policy and Horizon activities related to industry) as well as keeping the DG MARE programme in the agency, the new agency will have a core of well-known tasks to build on. Furthermore, all delegated activities of DG GROW would be grouped in this agency, which would also be the case for most DG CNECT and DG SANTE delegated programmes.</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Transferring all activities related to the Single Market Programme (SMP) from CHAFEA, as well as the newly delegated activities from DG SANTE (food safety) and DG GROW (internal market activities) would ensure a coherent implementation of the new multi-dimensional programme.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The grouping of Horizon Europe’s cluster “Digital, industry and space” as well as the Connecting Europe Facility’s digital strand and the new Digital Europe Programme will support the synergies in bringing together the SMEs in the recovery of the European economy, the industrial dimension of the European Green Deal, as well as the digital and the space related activities. </w:t>
      </w:r>
    </w:p>
    <w:p w:rsidR="00855CA8" w:rsidRDefault="00A87C1F">
      <w:pPr>
        <w:pStyle w:val="6Bullet"/>
        <w:numPr>
          <w:ilvl w:val="0"/>
          <w:numId w:val="0"/>
        </w:numPr>
        <w:rPr>
          <w:rFonts w:eastAsiaTheme="minorHAnsi"/>
          <w:noProof/>
          <w:szCs w:val="24"/>
          <w:lang w:eastAsia="en-US"/>
        </w:rPr>
      </w:pPr>
      <w:r>
        <w:rPr>
          <w:rFonts w:eastAsiaTheme="minorHAnsi"/>
          <w:noProof/>
          <w:szCs w:val="24"/>
          <w:lang w:eastAsia="en-US"/>
        </w:rPr>
        <w:t xml:space="preserve">Placing the health components of the Single Market Programme and the health programme transferred from CHAFEA will furthermore ensure a strong health focus and that the recovery of the Economy goes hand in hand with building up the preparedness of the Union for future health crises following lessons learnt from the Covid-19 pandemic.  </w:t>
      </w:r>
    </w:p>
    <w:p w:rsidR="00855CA8" w:rsidRDefault="00855CA8">
      <w:pPr>
        <w:pStyle w:val="6Bullet"/>
        <w:numPr>
          <w:ilvl w:val="0"/>
          <w:numId w:val="0"/>
        </w:numPr>
        <w:rPr>
          <w:rFonts w:eastAsiaTheme="minorHAnsi"/>
          <w:i/>
          <w:noProof/>
          <w:szCs w:val="24"/>
          <w:lang w:eastAsia="en-US"/>
        </w:rPr>
      </w:pPr>
    </w:p>
    <w:p w:rsidR="00855CA8" w:rsidRDefault="00A87C1F">
      <w:pPr>
        <w:pStyle w:val="6Bullet"/>
        <w:numPr>
          <w:ilvl w:val="0"/>
          <w:numId w:val="0"/>
        </w:numPr>
        <w:rPr>
          <w:rFonts w:eastAsiaTheme="minorHAnsi"/>
          <w:noProof/>
          <w:szCs w:val="24"/>
          <w:lang w:eastAsia="en-US"/>
        </w:rPr>
      </w:pPr>
      <w:r>
        <w:rPr>
          <w:rFonts w:eastAsiaTheme="minorHAnsi"/>
          <w:i/>
          <w:noProof/>
          <w:szCs w:val="24"/>
          <w:lang w:eastAsia="en-US"/>
        </w:rPr>
        <w:t xml:space="preserve">Establishment of a new Innovation Agency in Brussels </w:t>
      </w:r>
    </w:p>
    <w:p w:rsidR="00855CA8" w:rsidRDefault="00A87C1F">
      <w:pPr>
        <w:spacing w:before="120" w:after="120"/>
        <w:rPr>
          <w:rFonts w:eastAsiaTheme="minorHAnsi"/>
          <w:noProof/>
          <w:szCs w:val="24"/>
          <w:lang w:eastAsia="en-US"/>
        </w:rPr>
      </w:pPr>
      <w:r>
        <w:rPr>
          <w:rFonts w:eastAsiaTheme="minorHAnsi"/>
          <w:noProof/>
          <w:szCs w:val="24"/>
          <w:lang w:eastAsia="en-US"/>
        </w:rPr>
        <w:t>Establishing a sixth agency in Brussels focussed on Innovation – the Innovation Council and interregional innovation projects, would ensure visibility for another high level priority of the Commission. Innovation is a key dimension to support the weakened European economy as well as to modernise and green it. In addition, establishing a sixth agency ensures that the other five agencies do not become too large and thematically fragmented. This new agency will have the scale and specialisation needed to operate efficiently.</w:t>
      </w:r>
    </w:p>
    <w:p w:rsidR="00855CA8" w:rsidRDefault="00A87C1F">
      <w:pPr>
        <w:spacing w:before="120" w:after="120"/>
        <w:rPr>
          <w:rFonts w:eastAsiaTheme="minorHAnsi"/>
          <w:noProof/>
          <w:szCs w:val="24"/>
          <w:lang w:eastAsia="en-US"/>
        </w:rPr>
      </w:pPr>
      <w:r>
        <w:rPr>
          <w:rFonts w:eastAsiaTheme="minorHAnsi"/>
          <w:noProof/>
          <w:szCs w:val="24"/>
          <w:lang w:eastAsia="en-US"/>
        </w:rPr>
        <w:t>This new organisation of portfolios shows a reinforced trust of the Commission in its executive agencies and an acknowledgement of the performance of the agencies’ staff.</w:t>
      </w:r>
    </w:p>
    <w:p w:rsidR="00855CA8" w:rsidRDefault="00855CA8">
      <w:pPr>
        <w:spacing w:before="120" w:after="120"/>
        <w:rPr>
          <w:noProof/>
        </w:rPr>
      </w:pPr>
    </w:p>
    <w:p w:rsidR="00855CA8" w:rsidRDefault="00A87C1F">
      <w:pPr>
        <w:pStyle w:val="Heading1"/>
        <w:rPr>
          <w:noProof/>
        </w:rPr>
      </w:pPr>
      <w:r>
        <w:rPr>
          <w:noProof/>
        </w:rPr>
        <w:t>Next steps in the preparation of the delegation package</w:t>
      </w:r>
    </w:p>
    <w:p w:rsidR="00855CA8" w:rsidRDefault="00A87C1F">
      <w:pPr>
        <w:spacing w:before="120" w:after="120"/>
        <w:rPr>
          <w:noProof/>
        </w:rPr>
      </w:pPr>
      <w:r>
        <w:rPr>
          <w:noProof/>
        </w:rPr>
        <w:t xml:space="preserve">The College endorsement of the proposed future agency portfolios will allow a number of work streams to move forward. </w:t>
      </w:r>
    </w:p>
    <w:p w:rsidR="00855CA8" w:rsidRDefault="00A87C1F">
      <w:pPr>
        <w:spacing w:before="120" w:after="120"/>
        <w:rPr>
          <w:noProof/>
        </w:rPr>
      </w:pPr>
      <w:r>
        <w:rPr>
          <w:noProof/>
        </w:rPr>
        <w:t>The delegating DGs and agencies will be able to prepare the legal acts of the delegation package and prepare the transfers of programmes between agencies and the future agency portfolios can be taken into account in the preparation of the 2021 budget.</w:t>
      </w:r>
    </w:p>
    <w:p w:rsidR="00855CA8" w:rsidRDefault="00A87C1F">
      <w:pPr>
        <w:spacing w:before="120" w:after="120"/>
        <w:rPr>
          <w:noProof/>
        </w:rPr>
      </w:pPr>
      <w:r>
        <w:rPr>
          <w:noProof/>
        </w:rPr>
        <w:t>Further efforts will also be needed to modernise and streamline the governance of the executive agencies within the current legal framework in view of the increasing number of delegating Directorates-General. While each DG should have clear steer on the implementation of its own programmes, one of the delegating DG should have a clearly established leading role to supervise the non-programme specific issues in the agency. Mechanisms for reporting should also be improved.</w:t>
      </w:r>
    </w:p>
    <w:p w:rsidR="00855CA8" w:rsidRDefault="00A87C1F">
      <w:pPr>
        <w:spacing w:before="120" w:after="120"/>
        <w:rPr>
          <w:noProof/>
        </w:rPr>
      </w:pPr>
      <w:r>
        <w:rPr>
          <w:noProof/>
        </w:rPr>
        <w:t xml:space="preserve">The next steps also include the calculation of the staff to be granted to each agency to manage the programmes that will be delegated to it. However, the calculation can only be finalised once an agreement on the next multiannual financial framework has been reached and the future budget envelopes are decided. A decision will also be needed on how the increase in agency staff will be offset by a decrease of the Commission’s staff. </w:t>
      </w:r>
    </w:p>
    <w:p w:rsidR="00855CA8" w:rsidRDefault="00A87C1F">
      <w:pPr>
        <w:spacing w:before="120" w:after="120"/>
        <w:rPr>
          <w:noProof/>
        </w:rPr>
      </w:pPr>
      <w:r>
        <w:rPr>
          <w:noProof/>
        </w:rPr>
        <w:t>The finalised delegation package, including the proposed staff increase in the agencies and offsetting in the Commission, will be presented to the Committee for Executive Agencies</w:t>
      </w:r>
      <w:r>
        <w:rPr>
          <w:rStyle w:val="FootnoteReference"/>
          <w:noProof/>
        </w:rPr>
        <w:footnoteReference w:id="5"/>
      </w:r>
      <w:r>
        <w:rPr>
          <w:noProof/>
        </w:rPr>
        <w:t>, which needs to give a positive opinion on the 2021-2027 agency mandates. Following this, the agency mandates will be presented to the College for final adoption, provided that neither branch of the budgetary authority has raised any objections and the basic acts of the 2021-2027 programmes are adopted in due time by the legislative authority.</w:t>
      </w:r>
      <w:r>
        <w:rPr>
          <w:noProof/>
        </w:rPr>
        <w:br w:type="page"/>
      </w:r>
    </w:p>
    <w:p w:rsidR="00855CA8" w:rsidRDefault="00A87C1F">
      <w:pPr>
        <w:spacing w:before="120" w:after="120"/>
        <w:rPr>
          <w:b/>
          <w:smallCaps/>
          <w:noProof/>
        </w:rPr>
      </w:pPr>
      <w:r>
        <w:rPr>
          <w:b/>
          <w:smallCaps/>
          <w:noProof/>
        </w:rPr>
        <w:t>Annex 1: Programmes transferred between agencies</w:t>
      </w:r>
    </w:p>
    <w:p w:rsidR="00855CA8" w:rsidRDefault="00855CA8">
      <w:pPr>
        <w:spacing w:before="120" w:after="120"/>
        <w:rPr>
          <w:b/>
          <w:smallCaps/>
          <w:noProof/>
        </w:rPr>
      </w:pPr>
    </w:p>
    <w:p w:rsidR="00855CA8" w:rsidRDefault="00A87C1F">
      <w:pPr>
        <w:spacing w:before="120" w:after="120"/>
        <w:rPr>
          <w:b/>
          <w:smallCaps/>
          <w:noProof/>
        </w:rPr>
      </w:pPr>
      <w:r>
        <w:rPr>
          <w:noProof/>
          <w:lang w:val="fr-BE" w:eastAsia="fr-BE"/>
        </w:rPr>
        <w:drawing>
          <wp:inline distT="0" distB="0" distL="0" distR="0">
            <wp:extent cx="6287093" cy="453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8982" cy="4542474"/>
                    </a:xfrm>
                    <a:prstGeom prst="rect">
                      <a:avLst/>
                    </a:prstGeom>
                    <a:noFill/>
                    <a:ln>
                      <a:noFill/>
                    </a:ln>
                  </pic:spPr>
                </pic:pic>
              </a:graphicData>
            </a:graphic>
          </wp:inline>
        </w:drawing>
      </w:r>
    </w:p>
    <w:p w:rsidR="00855CA8" w:rsidRDefault="00855CA8">
      <w:pPr>
        <w:spacing w:before="120" w:after="120"/>
        <w:rPr>
          <w:b/>
          <w:smallCaps/>
          <w:noProof/>
        </w:rPr>
      </w:pPr>
    </w:p>
    <w:p w:rsidR="00855CA8" w:rsidRDefault="00A87C1F">
      <w:pPr>
        <w:spacing w:before="120" w:after="120"/>
        <w:rPr>
          <w:b/>
          <w:smallCaps/>
          <w:noProof/>
        </w:rPr>
        <w:sectPr w:rsidR="00855CA8">
          <w:headerReference w:type="even" r:id="rId22"/>
          <w:headerReference w:type="default" r:id="rId23"/>
          <w:footerReference w:type="even" r:id="rId24"/>
          <w:footerReference w:type="default" r:id="rId25"/>
          <w:headerReference w:type="first" r:id="rId26"/>
          <w:footerReference w:type="first" r:id="rId27"/>
          <w:pgSz w:w="11906" w:h="16838"/>
          <w:pgMar w:top="851" w:right="1416" w:bottom="851" w:left="1418" w:header="601" w:footer="1077" w:gutter="0"/>
          <w:cols w:space="720"/>
          <w:titlePg/>
          <w:docGrid w:linePitch="326"/>
        </w:sectPr>
      </w:pPr>
      <w:r>
        <w:rPr>
          <w:noProof/>
          <w:lang w:val="fr-BE" w:eastAsia="fr-BE"/>
        </w:rPr>
        <w:drawing>
          <wp:inline distT="0" distB="0" distL="0" distR="0">
            <wp:extent cx="6305550" cy="33291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12089" cy="3332630"/>
                    </a:xfrm>
                    <a:prstGeom prst="rect">
                      <a:avLst/>
                    </a:prstGeom>
                    <a:noFill/>
                    <a:ln>
                      <a:noFill/>
                    </a:ln>
                  </pic:spPr>
                </pic:pic>
              </a:graphicData>
            </a:graphic>
          </wp:inline>
        </w:drawing>
      </w:r>
    </w:p>
    <w:p w:rsidR="00855CA8" w:rsidRDefault="00A87C1F">
      <w:pPr>
        <w:spacing w:before="120" w:after="120"/>
        <w:rPr>
          <w:b/>
          <w:smallCaps/>
          <w:noProof/>
        </w:rPr>
      </w:pPr>
      <w:r>
        <w:rPr>
          <w:noProof/>
          <w:lang w:val="fr-BE" w:eastAsia="fr-BE"/>
        </w:rPr>
        <w:drawing>
          <wp:inline distT="0" distB="0" distL="0" distR="0">
            <wp:extent cx="14039215" cy="8521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9215" cy="8521540"/>
                    </a:xfrm>
                    <a:prstGeom prst="rect">
                      <a:avLst/>
                    </a:prstGeom>
                    <a:noFill/>
                    <a:ln>
                      <a:noFill/>
                    </a:ln>
                  </pic:spPr>
                </pic:pic>
              </a:graphicData>
            </a:graphic>
          </wp:inline>
        </w:drawing>
      </w:r>
    </w:p>
    <w:p w:rsidR="00855CA8" w:rsidRDefault="00A87C1F">
      <w:pPr>
        <w:spacing w:before="120" w:after="120"/>
        <w:rPr>
          <w:b/>
          <w:smallCaps/>
          <w:noProof/>
        </w:rPr>
      </w:pPr>
      <w:r>
        <w:rPr>
          <w:noProof/>
        </w:rPr>
        <w:t>See colour code on the next page</w:t>
      </w:r>
    </w:p>
    <w:p w:rsidR="00855CA8" w:rsidRDefault="00855CA8">
      <w:pPr>
        <w:spacing w:before="120" w:after="120"/>
        <w:rPr>
          <w:b/>
          <w:smallCaps/>
          <w:noProof/>
        </w:rPr>
        <w:sectPr w:rsidR="00855CA8">
          <w:headerReference w:type="even" r:id="rId30"/>
          <w:headerReference w:type="default" r:id="rId31"/>
          <w:footerReference w:type="even" r:id="rId32"/>
          <w:footerReference w:type="default" r:id="rId33"/>
          <w:headerReference w:type="first" r:id="rId34"/>
          <w:footerReference w:type="first" r:id="rId35"/>
          <w:pgSz w:w="23811" w:h="16838" w:orient="landscape" w:code="8"/>
          <w:pgMar w:top="1418" w:right="851" w:bottom="1416" w:left="851" w:header="601" w:footer="1077" w:gutter="0"/>
          <w:cols w:space="720"/>
          <w:titlePg/>
          <w:docGrid w:linePitch="326"/>
        </w:sectPr>
      </w:pPr>
    </w:p>
    <w:p w:rsidR="00855CA8" w:rsidRDefault="00855CA8">
      <w:pPr>
        <w:spacing w:before="120" w:after="120"/>
        <w:rPr>
          <w:b/>
          <w:smallCaps/>
          <w:noProof/>
        </w:rPr>
      </w:pPr>
    </w:p>
    <w:p w:rsidR="00855CA8" w:rsidRDefault="00855CA8">
      <w:pPr>
        <w:spacing w:before="120" w:after="120"/>
        <w:rPr>
          <w:b/>
          <w:smallCaps/>
          <w:noProof/>
        </w:rPr>
      </w:pPr>
    </w:p>
    <w:p w:rsidR="00855CA8" w:rsidRDefault="00855CA8">
      <w:pPr>
        <w:spacing w:before="120" w:after="120"/>
        <w:rPr>
          <w:b/>
          <w:smallCaps/>
          <w:noProof/>
        </w:rPr>
      </w:pPr>
    </w:p>
    <w:p w:rsidR="00855CA8" w:rsidRDefault="00855CA8">
      <w:pPr>
        <w:spacing w:before="120" w:after="120"/>
        <w:rPr>
          <w:b/>
          <w:smallCaps/>
          <w:noProof/>
          <w:lang w:val="en-IE" w:eastAsia="fr-BE"/>
        </w:rPr>
      </w:pPr>
    </w:p>
    <w:p w:rsidR="00855CA8" w:rsidRDefault="00A87C1F">
      <w:pPr>
        <w:spacing w:before="120" w:after="120"/>
        <w:jc w:val="center"/>
        <w:rPr>
          <w:b/>
          <w:smallCaps/>
          <w:noProof/>
        </w:rPr>
      </w:pPr>
      <w:r>
        <w:rPr>
          <w:b/>
          <w:smallCaps/>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2195195</wp:posOffset>
                </wp:positionH>
                <wp:positionV relativeFrom="paragraph">
                  <wp:posOffset>2825750</wp:posOffset>
                </wp:positionV>
                <wp:extent cx="847725" cy="190500"/>
                <wp:effectExtent l="0" t="0" r="9525" b="0"/>
                <wp:wrapNone/>
                <wp:docPr id="6" name="Rectangle 6"/>
                <wp:cNvGraphicFramePr/>
                <a:graphic xmlns:a="http://schemas.openxmlformats.org/drawingml/2006/main">
                  <a:graphicData uri="http://schemas.microsoft.com/office/word/2010/wordprocessingShape">
                    <wps:wsp>
                      <wps:cNvSpPr/>
                      <wps:spPr>
                        <a:xfrm>
                          <a:off x="0" y="0"/>
                          <a:ext cx="84772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ECA3" id="Rectangle 6" o:spid="_x0000_s1026" style="position:absolute;margin-left:172.85pt;margin-top:222.5pt;width:66.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" fillcolor="white [3212]" stroked="f" strokeweight="1pt"/>
            </w:pict>
          </mc:Fallback>
        </mc:AlternateContent>
      </w:r>
      <w:r>
        <w:rPr>
          <w:noProof/>
          <w:lang w:val="fr-BE" w:eastAsia="fr-BE"/>
        </w:rPr>
        <w:drawing>
          <wp:inline distT="0" distB="0" distL="0" distR="0">
            <wp:extent cx="3295736" cy="36480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24794" cy="3680239"/>
                    </a:xfrm>
                    <a:prstGeom prst="rect">
                      <a:avLst/>
                    </a:prstGeom>
                    <a:noFill/>
                    <a:extLst/>
                  </pic:spPr>
                </pic:pic>
              </a:graphicData>
            </a:graphic>
          </wp:inline>
        </w:drawing>
      </w:r>
    </w:p>
    <w:p w:rsidR="00855CA8" w:rsidRDefault="00855CA8">
      <w:pPr>
        <w:spacing w:before="120" w:after="120"/>
        <w:jc w:val="center"/>
        <w:rPr>
          <w:b/>
          <w:smallCaps/>
          <w:noProof/>
        </w:rPr>
      </w:pPr>
    </w:p>
    <w:p w:rsidR="00855CA8" w:rsidRDefault="00855CA8">
      <w:pPr>
        <w:spacing w:before="120" w:after="120"/>
        <w:jc w:val="center"/>
        <w:rPr>
          <w:b/>
          <w:smallCaps/>
          <w:noProof/>
        </w:rPr>
      </w:pPr>
    </w:p>
    <w:sectPr w:rsidR="00855CA8">
      <w:headerReference w:type="even" r:id="rId37"/>
      <w:headerReference w:type="default" r:id="rId38"/>
      <w:footerReference w:type="even" r:id="rId39"/>
      <w:footerReference w:type="default" r:id="rId40"/>
      <w:headerReference w:type="first" r:id="rId41"/>
      <w:footerReference w:type="first" r:id="rId42"/>
      <w:pgSz w:w="11906" w:h="16838" w:code="9"/>
      <w:pgMar w:top="851" w:right="1416" w:bottom="851" w:left="141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74" w:rsidRDefault="006F5274">
      <w:pPr>
        <w:spacing w:after="0"/>
      </w:pPr>
      <w:r>
        <w:separator/>
      </w:r>
    </w:p>
  </w:endnote>
  <w:endnote w:type="continuationSeparator" w:id="0">
    <w:p w:rsidR="006F5274" w:rsidRDefault="006F5274">
      <w:pPr>
        <w:spacing w:after="0"/>
      </w:pPr>
      <w:r>
        <w:continuationSeparator/>
      </w:r>
    </w:p>
  </w:endnote>
  <w:endnote w:type="continuationNotice" w:id="1">
    <w:p w:rsidR="006F5274" w:rsidRDefault="006F52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BA"/>
    <w:family w:val="auto"/>
    <w:notTrueType/>
    <w:pitch w:val="default"/>
    <w:sig w:usb0="00000001"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Pr>
        <w:noProof/>
      </w:rPr>
      <w:t>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sidR="00BA07FD">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A87C1F">
    <w:pPr>
      <w:pStyle w:val="FooterLine"/>
      <w:jc w:val="center"/>
    </w:pPr>
    <w:r>
      <w:fldChar w:fldCharType="begin"/>
    </w:r>
    <w:r>
      <w:instrText>PAGE   \* MERGEFORMAT</w:instrText>
    </w:r>
    <w:r>
      <w:fldChar w:fldCharType="separate"/>
    </w:r>
    <w:r>
      <w:rPr>
        <w:noProof/>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74" w:rsidRDefault="006F5274">
      <w:pPr>
        <w:spacing w:after="0"/>
      </w:pPr>
      <w:r>
        <w:separator/>
      </w:r>
    </w:p>
  </w:footnote>
  <w:footnote w:type="continuationSeparator" w:id="0">
    <w:p w:rsidR="006F5274" w:rsidRDefault="006F5274">
      <w:pPr>
        <w:spacing w:after="0"/>
      </w:pPr>
      <w:r>
        <w:continuationSeparator/>
      </w:r>
    </w:p>
  </w:footnote>
  <w:footnote w:type="continuationNotice" w:id="1">
    <w:p w:rsidR="006F5274" w:rsidRDefault="006F5274">
      <w:pPr>
        <w:spacing w:after="0"/>
      </w:pPr>
    </w:p>
  </w:footnote>
  <w:footnote w:id="2">
    <w:p w:rsidR="00855CA8" w:rsidRDefault="00A87C1F">
      <w:pPr>
        <w:pStyle w:val="FootnoteText"/>
        <w:rPr>
          <w:lang w:val="en-IE"/>
        </w:rPr>
      </w:pPr>
      <w:r>
        <w:rPr>
          <w:rStyle w:val="FootnoteReference"/>
        </w:rPr>
        <w:footnoteRef/>
      </w:r>
      <w:r>
        <w:t xml:space="preserve"> </w:t>
      </w:r>
      <w:r>
        <w:tab/>
      </w:r>
      <w:r>
        <w:rPr>
          <w:lang w:val="en-IE"/>
        </w:rPr>
        <w:t>The latest evaluations will be presented to the College in written procedure in April.</w:t>
      </w:r>
    </w:p>
  </w:footnote>
  <w:footnote w:id="3">
    <w:p w:rsidR="00855CA8" w:rsidRDefault="00A87C1F">
      <w:pPr>
        <w:pStyle w:val="FootnoteText"/>
      </w:pPr>
      <w:r>
        <w:rPr>
          <w:rStyle w:val="FootnoteReference"/>
        </w:rPr>
        <w:footnoteRef/>
      </w:r>
      <w:r>
        <w:t xml:space="preserve"> </w:t>
      </w:r>
      <w:r>
        <w:tab/>
        <w:t>The changed structure of Horizon Europe is an important driver of change, given that each of the future clusters in the programme comprises activities currently implemented by several agencies. The transfers of tasks between agencies due to the new Horizon structure as well as the other criteria, is illustrated in annex 1.</w:t>
      </w:r>
    </w:p>
  </w:footnote>
  <w:footnote w:id="4">
    <w:p w:rsidR="00855CA8" w:rsidRDefault="00A87C1F">
      <w:pPr>
        <w:pStyle w:val="FootnoteText"/>
        <w:rPr>
          <w:lang w:val="en-IE"/>
        </w:rPr>
      </w:pPr>
      <w:r>
        <w:rPr>
          <w:rStyle w:val="FootnoteReference"/>
        </w:rPr>
        <w:footnoteRef/>
      </w:r>
      <w:r>
        <w:t xml:space="preserve"> </w:t>
      </w:r>
      <w:r>
        <w:rPr>
          <w:rFonts w:eastAsiaTheme="minorHAnsi"/>
          <w:szCs w:val="24"/>
          <w:lang w:eastAsia="en-US"/>
        </w:rPr>
        <w:t>Agricultural products promotion measures. Thematically, agricultural research is already located in REA and all the delegated activities of DG AGRI will be grouped in REA.</w:t>
      </w:r>
    </w:p>
  </w:footnote>
  <w:footnote w:id="5">
    <w:p w:rsidR="00855CA8" w:rsidRDefault="00A87C1F">
      <w:pPr>
        <w:pStyle w:val="FootnoteText"/>
        <w:ind w:left="142" w:hanging="142"/>
      </w:pPr>
      <w:r>
        <w:rPr>
          <w:rStyle w:val="FootnoteReference"/>
        </w:rPr>
        <w:footnoteRef/>
      </w:r>
      <w:r>
        <w:t xml:space="preserve"> </w:t>
      </w:r>
      <w:r>
        <w:tab/>
        <w:t xml:space="preserve">Council Regulation 58/2003 allows the Commission to set up executive agencies, subject to green light from the Committee, which follows the examination procedure of Regulation No 182/2011 and consists of Member States representatives. The Parliament is informed about the proposal, based on “working arrangements” agreed in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A8" w:rsidRDefault="0085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F1"/>
    <w:multiLevelType w:val="hybridMultilevel"/>
    <w:tmpl w:val="27AC56BA"/>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 w15:restartNumberingAfterBreak="0">
    <w:nsid w:val="023A251C"/>
    <w:multiLevelType w:val="hybridMultilevel"/>
    <w:tmpl w:val="CF3C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1C7"/>
    <w:multiLevelType w:val="hybridMultilevel"/>
    <w:tmpl w:val="9678F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00F7"/>
    <w:multiLevelType w:val="singleLevel"/>
    <w:tmpl w:val="7BFAADA8"/>
    <w:name w:val="ListDash4Numbering"/>
    <w:lvl w:ilvl="0">
      <w:start w:val="1"/>
      <w:numFmt w:val="bullet"/>
      <w:pStyle w:val="ListDash4"/>
      <w:lvlText w:val="–"/>
      <w:lvlJc w:val="left"/>
      <w:pPr>
        <w:tabs>
          <w:tab w:val="num" w:pos="3163"/>
        </w:tabs>
        <w:ind w:left="3163" w:hanging="283"/>
      </w:pPr>
      <w:rPr>
        <w:rFonts w:ascii="Times New Roman" w:hAnsi="Times New Roman"/>
      </w:rPr>
    </w:lvl>
  </w:abstractNum>
  <w:abstractNum w:abstractNumId="4" w15:restartNumberingAfterBreak="0">
    <w:nsid w:val="0E835846"/>
    <w:multiLevelType w:val="hybridMultilevel"/>
    <w:tmpl w:val="3D2650F6"/>
    <w:lvl w:ilvl="0" w:tplc="5AC2555E">
      <w:start w:val="1"/>
      <w:numFmt w:val="bullet"/>
      <w:pStyle w:val="6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3244C5B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6" w15:restartNumberingAfterBreak="0">
    <w:nsid w:val="0FBF36D8"/>
    <w:multiLevelType w:val="hybridMultilevel"/>
    <w:tmpl w:val="99DC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50E22"/>
    <w:multiLevelType w:val="hybridMultilevel"/>
    <w:tmpl w:val="D93A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B7201"/>
    <w:multiLevelType w:val="multilevel"/>
    <w:tmpl w:val="D0B694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9"/>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9" w15:restartNumberingAfterBreak="0">
    <w:nsid w:val="1262685D"/>
    <w:multiLevelType w:val="singleLevel"/>
    <w:tmpl w:val="B3C06F14"/>
    <w:name w:val="ListBullet4Numbering"/>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36661EF"/>
    <w:multiLevelType w:val="hybridMultilevel"/>
    <w:tmpl w:val="A31262C8"/>
    <w:lvl w:ilvl="0" w:tplc="A4EA20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3D0A16"/>
    <w:multiLevelType w:val="singleLevel"/>
    <w:tmpl w:val="3372FC54"/>
    <w:name w:val="ListBullet3Numbering"/>
    <w:lvl w:ilvl="0">
      <w:start w:val="1"/>
      <w:numFmt w:val="bullet"/>
      <w:pStyle w:val="ListBullet3"/>
      <w:lvlText w:val=""/>
      <w:lvlJc w:val="left"/>
      <w:pPr>
        <w:tabs>
          <w:tab w:val="num" w:pos="2200"/>
        </w:tabs>
        <w:ind w:left="2200" w:hanging="283"/>
      </w:pPr>
      <w:rPr>
        <w:rFonts w:ascii="Symbol" w:hAnsi="Symbol"/>
      </w:rPr>
    </w:lvl>
  </w:abstractNum>
  <w:abstractNum w:abstractNumId="12" w15:restartNumberingAfterBreak="0">
    <w:nsid w:val="172F0AC5"/>
    <w:multiLevelType w:val="multilevel"/>
    <w:tmpl w:val="0250F25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9"/>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13" w15:restartNumberingAfterBreak="0">
    <w:nsid w:val="184556E8"/>
    <w:multiLevelType w:val="hybridMultilevel"/>
    <w:tmpl w:val="8D100604"/>
    <w:lvl w:ilvl="0" w:tplc="7962317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C7B624F"/>
    <w:multiLevelType w:val="singleLevel"/>
    <w:tmpl w:val="5094B0C4"/>
    <w:name w:val="ListDash2Numbering"/>
    <w:lvl w:ilvl="0">
      <w:start w:val="1"/>
      <w:numFmt w:val="bullet"/>
      <w:pStyle w:val="ListDash2"/>
      <w:lvlText w:val="–"/>
      <w:lvlJc w:val="left"/>
      <w:pPr>
        <w:tabs>
          <w:tab w:val="num" w:pos="1361"/>
        </w:tabs>
        <w:ind w:left="1361" w:hanging="283"/>
      </w:pPr>
      <w:rPr>
        <w:rFonts w:ascii="Times New Roman" w:hAnsi="Times New Roman"/>
      </w:rPr>
    </w:lvl>
  </w:abstractNum>
  <w:abstractNum w:abstractNumId="15" w15:restartNumberingAfterBreak="0">
    <w:nsid w:val="2C8DFDF8"/>
    <w:multiLevelType w:val="singleLevel"/>
    <w:tmpl w:val="8E12D39A"/>
    <w:name w:val="ListBullet2Numbering"/>
    <w:lvl w:ilvl="0">
      <w:start w:val="1"/>
      <w:numFmt w:val="bullet"/>
      <w:pStyle w:val="ListBullet2"/>
      <w:lvlText w:val=""/>
      <w:lvlJc w:val="left"/>
      <w:pPr>
        <w:tabs>
          <w:tab w:val="num" w:pos="1361"/>
        </w:tabs>
        <w:ind w:left="1361" w:hanging="283"/>
      </w:pPr>
      <w:rPr>
        <w:rFonts w:ascii="Symbol" w:hAnsi="Symbol"/>
      </w:rPr>
    </w:lvl>
  </w:abstractNum>
  <w:abstractNum w:abstractNumId="16" w15:restartNumberingAfterBreak="0">
    <w:nsid w:val="2D293CE3"/>
    <w:multiLevelType w:val="multilevel"/>
    <w:tmpl w:val="1B1C53B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7" w15:restartNumberingAfterBreak="0">
    <w:nsid w:val="36324F1E"/>
    <w:multiLevelType w:val="singleLevel"/>
    <w:tmpl w:val="ED00B0A6"/>
    <w:name w:val="ListDash3Numbering"/>
    <w:lvl w:ilvl="0">
      <w:start w:val="1"/>
      <w:numFmt w:val="bullet"/>
      <w:pStyle w:val="ListDash3"/>
      <w:lvlText w:val="–"/>
      <w:lvlJc w:val="left"/>
      <w:pPr>
        <w:tabs>
          <w:tab w:val="num" w:pos="2200"/>
        </w:tabs>
        <w:ind w:left="2200" w:hanging="283"/>
      </w:pPr>
      <w:rPr>
        <w:rFonts w:ascii="Times New Roman" w:hAnsi="Times New Roman"/>
      </w:rPr>
    </w:lvl>
  </w:abstractNum>
  <w:abstractNum w:abstractNumId="18" w15:restartNumberingAfterBreak="0">
    <w:nsid w:val="37CB1E1C"/>
    <w:multiLevelType w:val="singleLevel"/>
    <w:tmpl w:val="0CC8CF82"/>
    <w:name w:val="ListDash1Numbering"/>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39EF39FA"/>
    <w:multiLevelType w:val="hybridMultilevel"/>
    <w:tmpl w:val="8ABA7E9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A3A70AD"/>
    <w:multiLevelType w:val="hybridMultilevel"/>
    <w:tmpl w:val="E868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730C4"/>
    <w:multiLevelType w:val="singleLevel"/>
    <w:tmpl w:val="25AC8EEA"/>
    <w:name w:val="ListBullet1Numbering"/>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CC47AA5"/>
    <w:multiLevelType w:val="hybridMultilevel"/>
    <w:tmpl w:val="DE2CBBA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29E662A"/>
    <w:multiLevelType w:val="multilevel"/>
    <w:tmpl w:val="9D9CD41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9"/>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24" w15:restartNumberingAfterBreak="0">
    <w:nsid w:val="432B0530"/>
    <w:multiLevelType w:val="hybridMultilevel"/>
    <w:tmpl w:val="1F5A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075AB"/>
    <w:multiLevelType w:val="hybridMultilevel"/>
    <w:tmpl w:val="DC4846E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15:restartNumberingAfterBreak="0">
    <w:nsid w:val="4E1A982C"/>
    <w:multiLevelType w:val="singleLevel"/>
    <w:tmpl w:val="D5303618"/>
    <w:name w:val="ListBulletNumbering"/>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072619B"/>
    <w:multiLevelType w:val="singleLevel"/>
    <w:tmpl w:val="11E83240"/>
    <w:name w:val="ListDashNumbering"/>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51E61FC8"/>
    <w:multiLevelType w:val="hybridMultilevel"/>
    <w:tmpl w:val="41D01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75932"/>
    <w:multiLevelType w:val="hybridMultilevel"/>
    <w:tmpl w:val="AB06A8D4"/>
    <w:lvl w:ilvl="0" w:tplc="FD92987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AA07F9"/>
    <w:multiLevelType w:val="hybridMultilevel"/>
    <w:tmpl w:val="FAC63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6571D20"/>
    <w:multiLevelType w:val="hybridMultilevel"/>
    <w:tmpl w:val="3112F03E"/>
    <w:lvl w:ilvl="0" w:tplc="080C0001">
      <w:start w:val="1"/>
      <w:numFmt w:val="bullet"/>
      <w:lvlText w:val=""/>
      <w:lvlJc w:val="left"/>
      <w:pPr>
        <w:ind w:left="837" w:hanging="360"/>
      </w:pPr>
      <w:rPr>
        <w:rFonts w:ascii="Symbol" w:hAnsi="Symbol"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32" w15:restartNumberingAfterBreak="0">
    <w:nsid w:val="5A844FA6"/>
    <w:multiLevelType w:val="hybridMultilevel"/>
    <w:tmpl w:val="CC7E81D4"/>
    <w:lvl w:ilvl="0" w:tplc="150CE416">
      <w:start w:val="2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B370E24"/>
    <w:multiLevelType w:val="hybridMultilevel"/>
    <w:tmpl w:val="6F4C5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CD51481"/>
    <w:multiLevelType w:val="hybridMultilevel"/>
    <w:tmpl w:val="ACA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640AF"/>
    <w:multiLevelType w:val="hybridMultilevel"/>
    <w:tmpl w:val="7CD6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7472E"/>
    <w:multiLevelType w:val="multilevel"/>
    <w:tmpl w:val="01BE2D2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9"/>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37" w15:restartNumberingAfterBreak="0">
    <w:nsid w:val="6ACB3B01"/>
    <w:multiLevelType w:val="hybridMultilevel"/>
    <w:tmpl w:val="DE2CBBA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C6E74BF"/>
    <w:multiLevelType w:val="hybridMultilevel"/>
    <w:tmpl w:val="2940D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65145E"/>
    <w:multiLevelType w:val="multilevel"/>
    <w:tmpl w:val="710E998A"/>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2880" w:hanging="958"/>
      </w:pPr>
    </w:lvl>
    <w:lvl w:ilvl="5">
      <w:start w:val="1"/>
      <w:numFmt w:val="decimal"/>
      <w:pStyle w:val="Heading6"/>
      <w:lvlText w:val="%1.%2.%3.%4.%5.%6."/>
      <w:lvlJc w:val="left"/>
      <w:pPr>
        <w:tabs>
          <w:tab w:val="num" w:pos="2880"/>
        </w:tabs>
        <w:ind w:left="2880" w:hanging="958"/>
      </w:pPr>
    </w:lvl>
    <w:lvl w:ilvl="6">
      <w:start w:val="1"/>
      <w:numFmt w:val="decimal"/>
      <w:pStyle w:val="Heading7"/>
      <w:lvlText w:val="%1.%2.%3.%4.%5.%6.%7."/>
      <w:lvlJc w:val="left"/>
      <w:pPr>
        <w:tabs>
          <w:tab w:val="num" w:pos="2880"/>
        </w:tabs>
        <w:ind w:left="2880" w:hanging="958"/>
      </w:pPr>
    </w:lvl>
    <w:lvl w:ilvl="7">
      <w:start w:val="1"/>
      <w:numFmt w:val="decimal"/>
      <w:pStyle w:val="Heading8"/>
      <w:lvlText w:val="%1.%2.%3.%4.%5.%6.%7.%8."/>
      <w:lvlJc w:val="left"/>
      <w:pPr>
        <w:tabs>
          <w:tab w:val="num" w:pos="2880"/>
        </w:tabs>
        <w:ind w:left="2880" w:hanging="958"/>
      </w:pPr>
    </w:lvl>
    <w:lvl w:ilvl="8">
      <w:start w:val="1"/>
      <w:numFmt w:val="decimal"/>
      <w:pStyle w:val="Heading9"/>
      <w:lvlText w:val="%1.%2.%3.%4.%5.%6.%7.%8.%9."/>
      <w:lvlJc w:val="left"/>
      <w:pPr>
        <w:tabs>
          <w:tab w:val="num" w:pos="2880"/>
        </w:tabs>
        <w:ind w:left="2880" w:hanging="958"/>
      </w:pPr>
    </w:lvl>
  </w:abstractNum>
  <w:abstractNum w:abstractNumId="40" w15:restartNumberingAfterBreak="0">
    <w:nsid w:val="7FCB5092"/>
    <w:multiLevelType w:val="hybridMultilevel"/>
    <w:tmpl w:val="6440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15"/>
  </w:num>
  <w:num w:numId="4">
    <w:abstractNumId w:val="11"/>
  </w:num>
  <w:num w:numId="5">
    <w:abstractNumId w:val="9"/>
  </w:num>
  <w:num w:numId="6">
    <w:abstractNumId w:val="8"/>
  </w:num>
  <w:num w:numId="7">
    <w:abstractNumId w:val="12"/>
  </w:num>
  <w:num w:numId="8">
    <w:abstractNumId w:val="5"/>
  </w:num>
  <w:num w:numId="9">
    <w:abstractNumId w:val="36"/>
  </w:num>
  <w:num w:numId="10">
    <w:abstractNumId w:val="21"/>
  </w:num>
  <w:num w:numId="11">
    <w:abstractNumId w:val="27"/>
  </w:num>
  <w:num w:numId="12">
    <w:abstractNumId w:val="18"/>
  </w:num>
  <w:num w:numId="13">
    <w:abstractNumId w:val="14"/>
  </w:num>
  <w:num w:numId="14">
    <w:abstractNumId w:val="17"/>
  </w:num>
  <w:num w:numId="15">
    <w:abstractNumId w:val="3"/>
  </w:num>
  <w:num w:numId="16">
    <w:abstractNumId w:val="23"/>
  </w:num>
  <w:num w:numId="17">
    <w:abstractNumId w:val="16"/>
  </w:num>
  <w:num w:numId="18">
    <w:abstractNumId w:val="1"/>
  </w:num>
  <w:num w:numId="19">
    <w:abstractNumId w:val="6"/>
  </w:num>
  <w:num w:numId="20">
    <w:abstractNumId w:val="35"/>
  </w:num>
  <w:num w:numId="21">
    <w:abstractNumId w:val="6"/>
  </w:num>
  <w:num w:numId="22">
    <w:abstractNumId w:val="28"/>
  </w:num>
  <w:num w:numId="23">
    <w:abstractNumId w:val="20"/>
  </w:num>
  <w:num w:numId="24">
    <w:abstractNumId w:val="24"/>
  </w:num>
  <w:num w:numId="25">
    <w:abstractNumId w:val="38"/>
  </w:num>
  <w:num w:numId="26">
    <w:abstractNumId w:val="30"/>
  </w:num>
  <w:num w:numId="27">
    <w:abstractNumId w:val="25"/>
  </w:num>
  <w:num w:numId="28">
    <w:abstractNumId w:val="34"/>
  </w:num>
  <w:num w:numId="29">
    <w:abstractNumId w:val="32"/>
  </w:num>
  <w:num w:numId="30">
    <w:abstractNumId w:val="19"/>
  </w:num>
  <w:num w:numId="31">
    <w:abstractNumId w:val="39"/>
  </w:num>
  <w:num w:numId="32">
    <w:abstractNumId w:val="33"/>
  </w:num>
  <w:num w:numId="33">
    <w:abstractNumId w:val="37"/>
  </w:num>
  <w:num w:numId="34">
    <w:abstractNumId w:val="39"/>
  </w:num>
  <w:num w:numId="35">
    <w:abstractNumId w:val="39"/>
  </w:num>
  <w:num w:numId="36">
    <w:abstractNumId w:val="29"/>
  </w:num>
  <w:num w:numId="37">
    <w:abstractNumId w:val="13"/>
  </w:num>
  <w:num w:numId="38">
    <w:abstractNumId w:val="10"/>
  </w:num>
  <w:num w:numId="39">
    <w:abstractNumId w:val="7"/>
  </w:num>
  <w:num w:numId="40">
    <w:abstractNumId w:val="22"/>
  </w:num>
  <w:num w:numId="41">
    <w:abstractNumId w:val="2"/>
  </w:num>
  <w:num w:numId="42">
    <w:abstractNumId w:val="40"/>
  </w:num>
  <w:num w:numId="43">
    <w:abstractNumId w:val="4"/>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8457F2-4362-47C1-A8D8-FEA5E2D3E26A"/>
    <w:docVar w:name="LW_COVERPAGE_TYPE" w:val="1"/>
    <w:docVar w:name="LW_CROSSREFERENCE" w:val="&lt;UNUSED&gt;"/>
    <w:docVar w:name="LW_DocType" w:val="EUROLOOK"/>
    <w:docVar w:name="LW_EMISSION" w:val="29.4.2020"/>
    <w:docVar w:name="LW_EMISSION_ISODATE" w:val="2020-04-29"/>
    <w:docVar w:name="LW_EMISSION_LOCATION" w:val="BRX"/>
    <w:docVar w:name="LW_EMISSION_PREFIX" w:val="Brussels, "/>
    <w:docVar w:name="LW_EMISSION_SUFFIX" w:val=" "/>
    <w:docVar w:name="LW_ID_DOCTYPE_NONLW" w:val="CP-002"/>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20) 28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legation of implementation tasks to Executive Agencies for the 2021-2027 _x000d__x000b_EU programmes"/>
    <w:docVar w:name="LW_TYPE.DOC.CP" w:val="COMMUNICATION TO THE COMMISSION"/>
    <w:docVar w:name="LW_TYPE.DOC.CP.USERTEXT" w:val="&lt;EMPTY&gt;"/>
  </w:docVars>
  <w:rsids>
    <w:rsidRoot w:val="00855CA8"/>
    <w:rsid w:val="006F5274"/>
    <w:rsid w:val="00855CA8"/>
    <w:rsid w:val="00A87C1F"/>
    <w:rsid w:val="00BA07FD"/>
    <w:rsid w:val="00CA6DD0"/>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keepNext/>
      <w:numPr>
        <w:ilvl w:val="4"/>
        <w:numId w:val="1"/>
      </w:numPr>
      <w:outlineLvl w:val="4"/>
    </w:pPr>
  </w:style>
  <w:style w:type="paragraph" w:styleId="Heading6">
    <w:name w:val="heading 6"/>
    <w:basedOn w:val="Normal"/>
    <w:next w:val="Normal"/>
    <w:semiHidden/>
    <w:pPr>
      <w:keepNext/>
      <w:numPr>
        <w:ilvl w:val="5"/>
        <w:numId w:val="1"/>
      </w:numPr>
      <w:outlineLvl w:val="5"/>
    </w:pPr>
  </w:style>
  <w:style w:type="paragraph" w:styleId="Heading7">
    <w:name w:val="heading 7"/>
    <w:basedOn w:val="Normal"/>
    <w:next w:val="Normal"/>
    <w:semiHidden/>
    <w:pPr>
      <w:keepNext/>
      <w:numPr>
        <w:ilvl w:val="6"/>
        <w:numId w:val="1"/>
      </w:numPr>
      <w:outlineLvl w:val="6"/>
    </w:pPr>
  </w:style>
  <w:style w:type="paragraph" w:styleId="Heading8">
    <w:name w:val="heading 8"/>
    <w:basedOn w:val="Normal"/>
    <w:next w:val="Normal"/>
    <w:semiHidden/>
    <w:pPr>
      <w:keepNext/>
      <w:numPr>
        <w:ilvl w:val="7"/>
        <w:numId w:val="1"/>
      </w:numPr>
      <w:outlineLvl w:val="7"/>
    </w:pPr>
  </w:style>
  <w:style w:type="paragraph" w:styleId="Heading9">
    <w:name w:val="heading 9"/>
    <w:basedOn w:val="Normal"/>
    <w:next w:val="Normal"/>
    <w:semiHidden/>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Pr>
      <w:rFonts w:ascii="Arial" w:hAnsi="Arial"/>
      <w:sz w:val="16"/>
      <w:lang w:val="en-GB" w:eastAsia="en-GB"/>
    </w:rPr>
  </w:style>
  <w:style w:type="character" w:customStyle="1" w:styleId="HeaderChar">
    <w:name w:val="Header Char"/>
    <w:basedOn w:val="DefaultParagraphFont"/>
    <w:link w:val="Header"/>
    <w:uiPriority w:val="99"/>
    <w:rPr>
      <w:sz w:val="24"/>
      <w:lang w:val="en-GB" w:eastAsia="en-GB"/>
    </w:rPr>
  </w:style>
  <w:style w:type="character" w:styleId="PlaceholderText">
    <w:name w:val="Placeholder Text"/>
    <w:basedOn w:val="DefaultParagraphFont"/>
    <w:uiPriority w:val="99"/>
    <w:semiHidden/>
    <w:rPr>
      <w:vanish w:val="0"/>
      <w:color w:val="2C8F6C"/>
    </w:rPr>
  </w:style>
  <w:style w:type="character" w:customStyle="1" w:styleId="BodyPlaceholderText">
    <w:name w:val="BodyPlaceholderText"/>
    <w:basedOn w:val="PlaceholderText"/>
    <w:uiPriority w:val="1"/>
    <w:semiHidden/>
    <w:rPr>
      <w:vanish w:val="0"/>
      <w:color w:val="3366CC"/>
    </w:rPr>
  </w:style>
  <w:style w:type="paragraph" w:customStyle="1" w:styleId="Text4">
    <w:name w:val="Text 4"/>
    <w:basedOn w:val="Normal"/>
    <w:qFormat/>
    <w:pPr>
      <w:ind w:left="2880"/>
    </w:pPr>
  </w:style>
  <w:style w:type="paragraph" w:customStyle="1" w:styleId="Text3">
    <w:name w:val="Text 3"/>
    <w:basedOn w:val="Normal"/>
    <w:qFormat/>
    <w:pPr>
      <w:ind w:left="1916"/>
    </w:pPr>
  </w:style>
  <w:style w:type="paragraph" w:customStyle="1" w:styleId="Text2">
    <w:name w:val="Text 2"/>
    <w:basedOn w:val="Normal"/>
    <w:qFormat/>
    <w:pPr>
      <w:ind w:left="1077"/>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uiPriority w:val="99"/>
    <w:semiHidden/>
    <w:pPr>
      <w:spacing w:after="120"/>
      <w:ind w:left="357" w:hanging="357"/>
    </w:pPr>
    <w:rPr>
      <w:sz w:val="20"/>
    </w:rPr>
  </w:style>
  <w:style w:type="paragraph" w:styleId="Header">
    <w:name w:val="header"/>
    <w:basedOn w:val="Normal"/>
    <w:link w:val="HeaderChar"/>
    <w:pPr>
      <w:tabs>
        <w:tab w:val="center" w:pos="4150"/>
        <w:tab w:val="right" w:pos="8306"/>
      </w:tabs>
      <w:spacing w:after="0"/>
    </w:p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style>
  <w:style w:type="paragraph" w:styleId="TOC5">
    <w:name w:val="toc 5"/>
    <w:basedOn w:val="Normal"/>
    <w:next w:val="Normal"/>
    <w:semiHidden/>
    <w:pPr>
      <w:tabs>
        <w:tab w:val="right" w:leader="dot" w:pos="8640"/>
      </w:tabs>
      <w:spacing w:before="60" w:after="60"/>
      <w:ind w:left="2880" w:right="720" w:hanging="964"/>
    </w:pPr>
  </w:style>
  <w:style w:type="paragraph" w:styleId="TOC6">
    <w:name w:val="toc 6"/>
    <w:basedOn w:val="Normal"/>
    <w:next w:val="Normal"/>
    <w:semiHidden/>
    <w:pPr>
      <w:tabs>
        <w:tab w:val="right" w:leader="dot" w:pos="8640"/>
      </w:tabs>
      <w:spacing w:before="60" w:after="60"/>
      <w:ind w:left="2880" w:right="720" w:hanging="964"/>
    </w:pPr>
  </w:style>
  <w:style w:type="paragraph" w:styleId="TOC7">
    <w:name w:val="toc 7"/>
    <w:basedOn w:val="Normal"/>
    <w:next w:val="Normal"/>
    <w:semiHidden/>
    <w:pPr>
      <w:tabs>
        <w:tab w:val="right" w:leader="dot" w:pos="8640"/>
      </w:tabs>
      <w:spacing w:before="60" w:after="60"/>
      <w:ind w:left="2880" w:right="720" w:hanging="964"/>
    </w:pPr>
  </w:style>
  <w:style w:type="paragraph" w:styleId="TOC8">
    <w:name w:val="toc 8"/>
    <w:basedOn w:val="Normal"/>
    <w:next w:val="Normal"/>
    <w:semiHidden/>
    <w:pPr>
      <w:tabs>
        <w:tab w:val="right" w:leader="dot" w:pos="8640"/>
      </w:tabs>
      <w:spacing w:before="60" w:after="60"/>
      <w:ind w:left="2880" w:right="720" w:hanging="964"/>
    </w:pPr>
  </w:style>
  <w:style w:type="paragraph" w:styleId="TOC9">
    <w:name w:val="toc 9"/>
    <w:basedOn w:val="Normal"/>
    <w:next w:val="Normal"/>
    <w:semiHidden/>
    <w:pPr>
      <w:tabs>
        <w:tab w:val="right" w:leader="dot" w:pos="8640"/>
      </w:tabs>
      <w:spacing w:before="60" w:after="60"/>
      <w:ind w:left="2880" w:right="720" w:hanging="964"/>
    </w:pPr>
  </w:style>
  <w:style w:type="paragraph" w:styleId="ListBullet">
    <w:name w:val="List Bullet"/>
    <w:basedOn w:val="Normal"/>
    <w:pPr>
      <w:numPr>
        <w:numId w:val="2"/>
      </w:numPr>
    </w:pPr>
  </w:style>
  <w:style w:type="paragraph" w:customStyle="1" w:styleId="ListBullet1">
    <w:name w:val="List Bullet 1"/>
    <w:basedOn w:val="Text1"/>
    <w:pPr>
      <w:numPr>
        <w:numId w:val="10"/>
      </w:numPr>
    </w:pPr>
  </w:style>
  <w:style w:type="paragraph" w:styleId="ListBullet2">
    <w:name w:val="List Bullet 2"/>
    <w:basedOn w:val="Text2"/>
    <w:pPr>
      <w:numPr>
        <w:numId w:val="3"/>
      </w:numPr>
    </w:pPr>
  </w:style>
  <w:style w:type="paragraph" w:styleId="ListBullet3">
    <w:name w:val="List Bullet 3"/>
    <w:basedOn w:val="Text3"/>
    <w:pPr>
      <w:numPr>
        <w:numId w:val="4"/>
      </w:numPr>
    </w:pPr>
  </w:style>
  <w:style w:type="paragraph" w:styleId="ListBullet4">
    <w:name w:val="List Bullet 4"/>
    <w:basedOn w:val="Text4"/>
    <w:pPr>
      <w:numPr>
        <w:numId w:val="5"/>
      </w:numPr>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pPr>
  </w:style>
  <w:style w:type="paragraph" w:customStyle="1" w:styleId="ListDash2">
    <w:name w:val="List Dash 2"/>
    <w:basedOn w:val="Text2"/>
    <w:pPr>
      <w:numPr>
        <w:numId w:val="13"/>
      </w:numPr>
    </w:pPr>
  </w:style>
  <w:style w:type="paragraph" w:customStyle="1" w:styleId="ListDash3">
    <w:name w:val="List Dash 3"/>
    <w:basedOn w:val="Text3"/>
    <w:pPr>
      <w:numPr>
        <w:numId w:val="14"/>
      </w:numPr>
    </w:pPr>
  </w:style>
  <w:style w:type="paragraph" w:customStyle="1" w:styleId="ListDash4">
    <w:name w:val="List Dash 4"/>
    <w:basedOn w:val="Text4"/>
    <w:pPr>
      <w:numPr>
        <w:numId w:val="15"/>
      </w:numPr>
    </w:pPr>
  </w:style>
  <w:style w:type="paragraph" w:styleId="ListNumber">
    <w:name w:val="List Number"/>
    <w:basedOn w:val="Normal"/>
    <w:pPr>
      <w:numPr>
        <w:numId w:val="6"/>
      </w:numPr>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styleId="ListNumber2">
    <w:name w:val="List Number 2"/>
    <w:basedOn w:val="Text2"/>
    <w:pPr>
      <w:numPr>
        <w:numId w:val="7"/>
      </w:numPr>
    </w:pPr>
  </w:style>
  <w:style w:type="paragraph" w:customStyle="1" w:styleId="ListNumber2Level2">
    <w:name w:val="List Number 2 (Level 2)"/>
    <w:basedOn w:val="Text2"/>
    <w:pPr>
      <w:numPr>
        <w:ilvl w:val="1"/>
        <w:numId w:val="7"/>
      </w:numPr>
    </w:pPr>
  </w:style>
  <w:style w:type="paragraph" w:customStyle="1" w:styleId="ListNumber2Level3">
    <w:name w:val="List Number 2 (Level 3)"/>
    <w:basedOn w:val="Text2"/>
    <w:pPr>
      <w:numPr>
        <w:ilvl w:val="2"/>
        <w:numId w:val="7"/>
      </w:numPr>
    </w:pPr>
  </w:style>
  <w:style w:type="paragraph" w:customStyle="1" w:styleId="ListNumber2Level4">
    <w:name w:val="List Number 2 (Level 4)"/>
    <w:basedOn w:val="Text2"/>
    <w:pPr>
      <w:numPr>
        <w:ilvl w:val="3"/>
        <w:numId w:val="7"/>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pPr>
      <w:numPr>
        <w:ilvl w:val="2"/>
        <w:numId w:val="8"/>
      </w:numPr>
    </w:pPr>
  </w:style>
  <w:style w:type="paragraph" w:customStyle="1" w:styleId="ListNumber3Level4">
    <w:name w:val="List Number 3 (Level 4)"/>
    <w:basedOn w:val="Text3"/>
    <w:pPr>
      <w:numPr>
        <w:ilvl w:val="3"/>
        <w:numId w:val="8"/>
      </w:numPr>
    </w:pPr>
  </w:style>
  <w:style w:type="paragraph" w:styleId="ListNumber4">
    <w:name w:val="List Number 4"/>
    <w:basedOn w:val="Text4"/>
    <w:pPr>
      <w:numPr>
        <w:numId w:val="9"/>
      </w:numPr>
    </w:pPr>
  </w:style>
  <w:style w:type="paragraph" w:customStyle="1" w:styleId="ListNumber4Level2">
    <w:name w:val="List Number 4 (Level 2)"/>
    <w:basedOn w:val="Text4"/>
    <w:pPr>
      <w:numPr>
        <w:ilvl w:val="1"/>
        <w:numId w:val="9"/>
      </w:numPr>
    </w:pPr>
  </w:style>
  <w:style w:type="paragraph" w:customStyle="1" w:styleId="ListNumber4Level3">
    <w:name w:val="List Number 4 (Level 3)"/>
    <w:basedOn w:val="Text4"/>
    <w:pPr>
      <w:numPr>
        <w:ilvl w:val="2"/>
        <w:numId w:val="9"/>
      </w:numPr>
    </w:pPr>
  </w:style>
  <w:style w:type="paragraph" w:customStyle="1" w:styleId="ListNumber4Level4">
    <w:name w:val="List Number 4 (Level 4)"/>
    <w:basedOn w:val="Text4"/>
    <w:pPr>
      <w:numPr>
        <w:ilvl w:val="3"/>
        <w:numId w:val="9"/>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table" w:customStyle="1" w:styleId="TableLetterhead">
    <w:name w:val="Table Letterhead"/>
    <w:basedOn w:val="TableNormal"/>
    <w:uiPriority w:val="99"/>
    <w:tblPr>
      <w:tblCellMar>
        <w:left w:w="0" w:type="dxa"/>
        <w:bottom w:w="340" w:type="dxa"/>
        <w:right w:w="0" w:type="dxa"/>
      </w:tblCellMar>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uiPriority w:val="99"/>
    <w:unhideWhenUsed/>
    <w:rPr>
      <w:vertAlign w:val="superscript"/>
    </w:rPr>
  </w:style>
  <w:style w:type="paragraph" w:styleId="Revision">
    <w:name w:val="Revision"/>
    <w:hidden/>
    <w:uiPriority w:val="99"/>
    <w:semiHidden/>
  </w:style>
  <w:style w:type="paragraph" w:customStyle="1" w:styleId="Default">
    <w:name w:val="Default"/>
    <w:pPr>
      <w:autoSpaceDE w:val="0"/>
      <w:autoSpaceDN w:val="0"/>
      <w:adjustRightInd w:val="0"/>
    </w:pPr>
    <w:rPr>
      <w:rFonts w:ascii="EUAlbertina" w:hAnsi="EUAlbertina" w:cs="EUAlbertina"/>
      <w:color w:val="000000"/>
      <w:szCs w:val="24"/>
    </w:rPr>
  </w:style>
  <w:style w:type="paragraph" w:customStyle="1" w:styleId="6Bullet">
    <w:name w:val="6 Bullet"/>
    <w:basedOn w:val="Normal"/>
    <w:link w:val="6BulletChar"/>
    <w:qFormat/>
    <w:pPr>
      <w:numPr>
        <w:numId w:val="43"/>
      </w:numPr>
      <w:spacing w:after="120"/>
    </w:pPr>
    <w:rPr>
      <w:rFonts w:eastAsia="SimSun"/>
    </w:rPr>
  </w:style>
  <w:style w:type="character" w:customStyle="1" w:styleId="6BulletChar">
    <w:name w:val="6 Bullet Char"/>
    <w:basedOn w:val="DefaultParagraphFont"/>
    <w:link w:val="6Bullet"/>
    <w:rPr>
      <w:rFonts w:eastAsia="SimSun"/>
    </w:rPr>
  </w:style>
  <w:style w:type="paragraph" w:styleId="NormalWeb">
    <w:name w:val="Normal (Web)"/>
    <w:basedOn w:val="Normal"/>
    <w:uiPriority w:val="99"/>
    <w:semiHidden/>
    <w:unhideWhenUsed/>
    <w:pPr>
      <w:spacing w:before="100" w:beforeAutospacing="1" w:after="100" w:afterAutospacing="1"/>
      <w:jc w:val="left"/>
    </w:pPr>
    <w:rPr>
      <w:szCs w:val="24"/>
      <w:lang w:val="fr-BE"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uppressAutoHyphens/>
      <w:autoSpaceDE w:val="0"/>
      <w:autoSpaceDN w:val="0"/>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uppressAutoHyphens/>
      <w:autoSpaceDE w:val="0"/>
      <w:autoSpaceDN w:val="0"/>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widowControl w:val="0"/>
      <w:tabs>
        <w:tab w:val="center" w:pos="4535"/>
        <w:tab w:val="right" w:pos="9071"/>
      </w:tabs>
      <w:suppressAutoHyphens/>
      <w:autoSpaceDE w:val="0"/>
      <w:autoSpaceDN w:val="0"/>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uppressAutoHyphens/>
      <w:autoSpaceDE w:val="0"/>
      <w:autoSpaceDN w:val="0"/>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widowControl w:val="0"/>
      <w:suppressAutoHyphens/>
      <w:autoSpaceDE w:val="0"/>
      <w:autoSpaceDN w:val="0"/>
      <w:spacing w:after="120"/>
      <w:jc w:val="right"/>
    </w:pPr>
    <w:rPr>
      <w:sz w:val="28"/>
    </w:rPr>
  </w:style>
  <w:style w:type="character" w:customStyle="1" w:styleId="HeaderSensitivityRightChar">
    <w:name w:val="Header Sensitivity Right Char"/>
    <w:basedOn w:val="DefaultParagraphFont"/>
    <w:link w:val="HeaderSensitivityRigh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1852">
      <w:bodyDiv w:val="1"/>
      <w:marLeft w:val="0"/>
      <w:marRight w:val="0"/>
      <w:marTop w:val="0"/>
      <w:marBottom w:val="0"/>
      <w:divBdr>
        <w:top w:val="none" w:sz="0" w:space="0" w:color="auto"/>
        <w:left w:val="none" w:sz="0" w:space="0" w:color="auto"/>
        <w:bottom w:val="none" w:sz="0" w:space="0" w:color="auto"/>
        <w:right w:val="none" w:sz="0" w:space="0" w:color="auto"/>
      </w:divBdr>
    </w:div>
    <w:div w:id="482820391">
      <w:bodyDiv w:val="1"/>
      <w:marLeft w:val="0"/>
      <w:marRight w:val="0"/>
      <w:marTop w:val="0"/>
      <w:marBottom w:val="0"/>
      <w:divBdr>
        <w:top w:val="none" w:sz="0" w:space="0" w:color="auto"/>
        <w:left w:val="none" w:sz="0" w:space="0" w:color="auto"/>
        <w:bottom w:val="none" w:sz="0" w:space="0" w:color="auto"/>
        <w:right w:val="none" w:sz="0" w:space="0" w:color="auto"/>
      </w:divBdr>
    </w:div>
    <w:div w:id="521666637">
      <w:bodyDiv w:val="1"/>
      <w:marLeft w:val="0"/>
      <w:marRight w:val="0"/>
      <w:marTop w:val="0"/>
      <w:marBottom w:val="0"/>
      <w:divBdr>
        <w:top w:val="none" w:sz="0" w:space="0" w:color="auto"/>
        <w:left w:val="none" w:sz="0" w:space="0" w:color="auto"/>
        <w:bottom w:val="none" w:sz="0" w:space="0" w:color="auto"/>
        <w:right w:val="none" w:sz="0" w:space="0" w:color="auto"/>
      </w:divBdr>
    </w:div>
    <w:div w:id="706956866">
      <w:bodyDiv w:val="1"/>
      <w:marLeft w:val="0"/>
      <w:marRight w:val="0"/>
      <w:marTop w:val="0"/>
      <w:marBottom w:val="0"/>
      <w:divBdr>
        <w:top w:val="none" w:sz="0" w:space="0" w:color="auto"/>
        <w:left w:val="none" w:sz="0" w:space="0" w:color="auto"/>
        <w:bottom w:val="none" w:sz="0" w:space="0" w:color="auto"/>
        <w:right w:val="none" w:sz="0" w:space="0" w:color="auto"/>
      </w:divBdr>
    </w:div>
    <w:div w:id="1421410986">
      <w:bodyDiv w:val="1"/>
      <w:marLeft w:val="0"/>
      <w:marRight w:val="0"/>
      <w:marTop w:val="0"/>
      <w:marBottom w:val="0"/>
      <w:divBdr>
        <w:top w:val="none" w:sz="0" w:space="0" w:color="auto"/>
        <w:left w:val="none" w:sz="0" w:space="0" w:color="auto"/>
        <w:bottom w:val="none" w:sz="0" w:space="0" w:color="auto"/>
        <w:right w:val="none" w:sz="0" w:space="0" w:color="auto"/>
      </w:divBdr>
    </w:div>
    <w:div w:id="1660231281">
      <w:bodyDiv w:val="1"/>
      <w:marLeft w:val="0"/>
      <w:marRight w:val="0"/>
      <w:marTop w:val="0"/>
      <w:marBottom w:val="0"/>
      <w:divBdr>
        <w:top w:val="none" w:sz="0" w:space="0" w:color="auto"/>
        <w:left w:val="none" w:sz="0" w:space="0" w:color="auto"/>
        <w:bottom w:val="none" w:sz="0" w:space="0" w:color="auto"/>
        <w:right w:val="none" w:sz="0" w:space="0" w:color="auto"/>
      </w:divBdr>
    </w:div>
    <w:div w:id="1767923535">
      <w:bodyDiv w:val="1"/>
      <w:marLeft w:val="0"/>
      <w:marRight w:val="0"/>
      <w:marTop w:val="0"/>
      <w:marBottom w:val="0"/>
      <w:divBdr>
        <w:top w:val="none" w:sz="0" w:space="0" w:color="auto"/>
        <w:left w:val="none" w:sz="0" w:space="0" w:color="auto"/>
        <w:bottom w:val="none" w:sz="0" w:space="0" w:color="auto"/>
        <w:right w:val="none" w:sz="0" w:space="0" w:color="auto"/>
      </w:divBdr>
    </w:div>
    <w:div w:id="1790473085">
      <w:bodyDiv w:val="1"/>
      <w:marLeft w:val="0"/>
      <w:marRight w:val="0"/>
      <w:marTop w:val="0"/>
      <w:marBottom w:val="0"/>
      <w:divBdr>
        <w:top w:val="none" w:sz="0" w:space="0" w:color="auto"/>
        <w:left w:val="none" w:sz="0" w:space="0" w:color="auto"/>
        <w:bottom w:val="none" w:sz="0" w:space="0" w:color="auto"/>
        <w:right w:val="none" w:sz="0" w:space="0" w:color="auto"/>
      </w:divBdr>
    </w:div>
    <w:div w:id="1816528904">
      <w:bodyDiv w:val="1"/>
      <w:marLeft w:val="0"/>
      <w:marRight w:val="0"/>
      <w:marTop w:val="0"/>
      <w:marBottom w:val="0"/>
      <w:divBdr>
        <w:top w:val="none" w:sz="0" w:space="0" w:color="auto"/>
        <w:left w:val="none" w:sz="0" w:space="0" w:color="auto"/>
        <w:bottom w:val="none" w:sz="0" w:space="0" w:color="auto"/>
        <w:right w:val="none" w:sz="0" w:space="0" w:color="auto"/>
      </w:divBdr>
    </w:div>
    <w:div w:id="202928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eader" Target="header9.xml"/><Relationship Id="rId42" Type="http://schemas.openxmlformats.org/officeDocument/2006/relationships/footer" Target="footer1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3.emf"/><Relationship Id="rId36" Type="http://schemas.openxmlformats.org/officeDocument/2006/relationships/image" Target="media/image5.e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10.0.37441.0</Version>
    <Date>2018-07-19T11:33:18</Date>
    <Language>EN</Language>
  </Created>
  <Edited>
    <Version>10.0.40769.0</Version>
    <Date>2020-04-29T08:44:17</Date>
  </Edited>
  <DocumentModel>
    <Id>0b054141-88b1-4efb-8c91-2905cb0bed6c</Id>
    <Name>Note</Name>
  </DocumentModel>
  <DocumentDate>2018-07-19T11:33:18</DocumentDate>
  <DocumentVersion>0.1</DocumentVersion>
  <CompatibilityMode>Eurolook10</CompatibilityMode>
  <Address/>
</EurolookProperties>
</file>

<file path=customXml/item2.xml><?xml version="1.0" encoding="utf-8"?>
<Author Role="Creator">
  <Id>2053c967-1066-475a-9e20-a504a2eeee01</Id>
  <Names>
    <Latin>
      <FirstName>Mette Bjerg</FirstName>
      <LastName>Alvi</LastName>
    </Latin>
    <Greek>
      <FirstName/>
      <LastName/>
    </Greek>
    <Cyrillic>
      <FirstName/>
      <LastName/>
    </Cyrillic>
    <DocumentScript>
      <FirstName>Mette Bjerg</FirstName>
      <LastName>Alvi</LastName>
      <FullName>Mette Bjerg Alvi</FullName>
    </DocumentScript>
  </Names>
  <Initials>AMB</Initials>
  <Gender>f</Gender>
  <Email>Mette-Bjerg.ALVI@ec.europa.eu</Email>
  <Service>BUDG.DGA2.A.3.001</Service>
  <Function/>
  <WebAddress/>
  <InheritedWebAddress>http://europa.eu</InheritedWebAddress>
  <OrgaEntity1>
    <Id>b72b7fba-bee2-4517-bd65-09e29e1abe53</Id>
    <LogicalLevel>1</LogicalLevel>
    <Name>BUDG</Name>
    <HeadLine1>DG BUDGET</HeadLine1>
    <HeadLine2/>
    <PrimaryAddressId>f03b5801-04c9-4931-aa17-c6d6c70bc579</PrimaryAddressId>
    <SecondaryAddressId/>
    <WebAddress/>
    <InheritedWebAddress>http://europa.eu</InheritedWebAddress>
    <ShowInHeader>true</ShowInHeader>
  </OrgaEntity1>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+32 229 94248</Phone>
    <Office>BRE2 12/458</Office>
  </MainWorkplace>
  <Workplaces>
    <Workplace IsMain="false">
      <AddressId>1264fb81-f6bb-475e-9f9d-a937d3be6ee2</AddressId>
      <Fax/>
      <Phone/>
      <Office/>
    </Workplace>
    <Workplace IsMain="true">
      <AddressId>f03b5801-04c9-4931-aa17-c6d6c70bc579</AddressId>
      <Fax/>
      <Phone>+32 229 94248</Phone>
      <Office>BRE2 12/458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Information Note to </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669F227D39A2BF4080ECD4A2A05E616B" ma:contentTypeVersion="8" ma:contentTypeDescription="Create a new document in this library." ma:contentTypeScope="" ma:versionID="40c9d0904e2bea60742535cb60b9c7af">
  <xsd:schema xmlns:xsd="http://www.w3.org/2001/XMLSchema" xmlns:xs="http://www.w3.org/2001/XMLSchema" xmlns:p="http://schemas.microsoft.com/office/2006/metadata/properties" xmlns:ns3="b7ad2e92-18ff-4be0-897f-9cb98dd3eb19" targetNamespace="http://schemas.microsoft.com/office/2006/metadata/properties" ma:root="true" ma:fieldsID="0798c4d5708e8e0623a9766bfbfc2fb8" ns3:_="">
    <xsd:import namespace="b7ad2e92-18ff-4be0-897f-9cb98dd3eb19"/>
    <xsd:element name="properties">
      <xsd:complexType>
        <xsd:sequence>
          <xsd:element name="documentManagement">
            <xsd:complexType>
              <xsd:all>
                <xsd:element ref="ns3:EC_Collab_Reference" minOccurs="0"/>
                <xsd:element ref="ns3:EC_Collab_DocumentLanguage"/>
                <xsd:element ref="ns3:EC_Collab_Status"/>
                <xsd:element ref="ns3:CMB_x0020_Date" minOccurs="0"/>
                <xsd:element ref="ns3:DG_x002f_Office" minOccurs="0"/>
                <xsd:element ref="ns3:Document_x0020_type" minOccurs="0"/>
                <xsd:element ref="ns3:Meeting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d2e92-18ff-4be0-897f-9cb98dd3eb1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CMB_x0020_Date" ma:index="15" nillable="true" ma:displayName="CMB Date" ma:format="DateOnly" ma:internalName="CMB_x0020_Date">
      <xsd:simpleType>
        <xsd:restriction base="dms:DateTime"/>
      </xsd:simpleType>
    </xsd:element>
    <xsd:element name="DG_x002f_Office" ma:index="16" nillable="true" ma:displayName="DG/Office" ma:format="Dropdown" ma:internalName="DG_x002f_Office">
      <xsd:simpleType>
        <xsd:restriction base="dms:Choice">
          <xsd:enumeration value="AGRI:Agriculture and Rural Development"/>
          <xsd:enumeration value="BUDG:Budget"/>
          <xsd:enumeration value="CLIMA:Climate Action"/>
          <xsd:enumeration value="CNECT:Communications Networks, Content and Technology"/>
          <xsd:enumeration value="COMM:Communication"/>
          <xsd:enumeration value="COMP:Competition"/>
          <xsd:enumeration value="DEVCO:International Cooperation and Development"/>
          <xsd:enumeration value="DGT:Translation"/>
          <xsd:enumeration value="DIGIT:Informatics"/>
          <xsd:enumeration value="EAC:Education and Culture"/>
          <xsd:enumeration value="ECFIN:Economic and Financial Affairs"/>
          <xsd:enumeration value="ECHO:Humanitarian Aid and Civil Protection (ECHO)"/>
          <xsd:enumeration value="EMPL:Employment, Social Affairs and Inclusion"/>
          <xsd:enumeration value="ENER:Energy"/>
          <xsd:enumeration value="ENV:Environment"/>
          <xsd:enumeration value="EPSC:European Political Strategy Centre"/>
          <xsd:enumeration value="EPSO:European Personnel Selection Office"/>
          <xsd:enumeration value="ESTAT:Eurostat"/>
          <xsd:enumeration value="FISMA:Financial Stability, Financial Services and Capital Markets Union"/>
          <xsd:enumeration value="FPI:Service for Foreign Policy Instruments"/>
          <xsd:enumeration value="GROW:Internal Market, Industry, Entrepreneurship and SMEs"/>
          <xsd:enumeration value="HOME:Migration and Home Affairs"/>
          <xsd:enumeration value="HR:Human Resources and Security"/>
          <xsd:enumeration value="IAS:Internal Audit Service"/>
          <xsd:enumeration value="JRC:Joint Research Centre"/>
          <xsd:enumeration value="JUST:Justice and Consumers"/>
          <xsd:enumeration value="MARE:Maritime Affairs and Fisheries"/>
          <xsd:enumeration value="MOVE:Mobility and Transport"/>
          <xsd:enumeration value="NEAR:Neighbourhood and Enlargement Negotiations"/>
          <xsd:enumeration value="OIB:Office for Infrastructure and Logistics in Brussels"/>
          <xsd:enumeration value="OIL:Office for Infrastructure and Logistics in Luxembourg"/>
          <xsd:enumeration value="OLAF:European Anti-Fraud Office"/>
          <xsd:enumeration value="OP:Publications Office"/>
          <xsd:enumeration value="PMO:Office for the Administration and Payment of Individual Entitlements"/>
          <xsd:enumeration value="REGIO:Regional and Urban Policy"/>
          <xsd:enumeration value="RTD:Research and Innovation"/>
          <xsd:enumeration value="SANTE:Health and Food Safety"/>
          <xsd:enumeration value="SCIC:Interpretation"/>
          <xsd:enumeration value="SG:Secretariat-General"/>
          <xsd:enumeration value="SJ:Legal Service"/>
          <xsd:enumeration value="TAXUD:Taxation and Customs Union"/>
          <xsd:enumeration value="TRADE:Trade"/>
        </xsd:restriction>
      </xsd:simpleType>
    </xsd:element>
    <xsd:element name="Document_x0020_type" ma:index="17" nillable="true" ma:displayName="Document type" ma:format="Dropdown" ma:internalName="Document_x0020_type">
      <xsd:simpleType>
        <xsd:restriction base="dms:Choice">
          <xsd:enumeration value="Agenda"/>
          <xsd:enumeration value="Annotated Agenda"/>
          <xsd:enumeration value="Contributions to the Annotated Agenda"/>
          <xsd:enumeration value="Annotated Agenda with Briefing"/>
          <xsd:enumeration value="Minutes"/>
          <xsd:enumeration value="Supporting Documents"/>
          <xsd:enumeration value="Supporting Documents only for SG + President CAB"/>
          <xsd:enumeration value="Other"/>
        </xsd:restriction>
      </xsd:simpleType>
    </xsd:element>
    <xsd:element name="Meeting_x0020_Status" ma:index="18" nillable="true" ma:displayName="Meeting Status" ma:default="Preparation" ma:format="Dropdown" ma:internalName="Meeting_x0020_Status">
      <xsd:simpleType>
        <xsd:restriction base="dms:Choice">
          <xsd:enumeration value="Preparation"/>
          <xsd:enumeration value="Finish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Agenda Item"/>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b7ad2e92-18ff-4be0-897f-9cb98dd3eb19">EN</EC_Collab_DocumentLanguage>
    <EC_Collab_Status xmlns="b7ad2e92-18ff-4be0-897f-9cb98dd3eb19">Not Started</EC_Collab_Status>
    <Document_x0020_type xmlns="b7ad2e92-18ff-4be0-897f-9cb98dd3eb19">Supporting Documents</Document_x0020_type>
    <CMB_x0020_Date xmlns="b7ad2e92-18ff-4be0-897f-9cb98dd3eb19">2018-09-26T22:00:00+00:00</CMB_x0020_Date>
    <DG_x002f_Office xmlns="b7ad2e92-18ff-4be0-897f-9cb98dd3eb19">BUDG:Budget</DG_x002f_Office>
    <EC_Collab_Reference xmlns="b7ad2e92-18ff-4be0-897f-9cb98dd3eb19" xsi:nil="true"/>
    <Meeting_x0020_Status xmlns="b7ad2e92-18ff-4be0-897f-9cb98dd3eb19">Preparation</Meeting_x0020_Statu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2F7B249-31C3-4E01-BF35-EE42FE68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d2e92-18ff-4be0-897f-9cb98dd3e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8D222F-32C4-4DE7-A6A1-B4CC3C679219}">
  <ds:schemaRefs>
    <ds:schemaRef ds:uri="http://schemas.microsoft.com/sharepoint/v3/contenttype/forms"/>
  </ds:schemaRefs>
</ds:datastoreItem>
</file>

<file path=customXml/itemProps6.xml><?xml version="1.0" encoding="utf-8"?>
<ds:datastoreItem xmlns:ds="http://schemas.openxmlformats.org/officeDocument/2006/customXml" ds:itemID="{D852D3FC-492B-4E85-89D1-3BB7B55E9713}">
  <ds:schemaRefs>
    <ds:schemaRef ds:uri="http://schemas.microsoft.com/office/2006/metadata/properties"/>
    <ds:schemaRef ds:uri="http://schemas.microsoft.com/office/infopath/2007/PartnerControls"/>
    <ds:schemaRef ds:uri="b7ad2e92-18ff-4be0-897f-9cb98dd3eb19"/>
  </ds:schemaRefs>
</ds:datastoreItem>
</file>

<file path=customXml/itemProps7.xml><?xml version="1.0" encoding="utf-8"?>
<ds:datastoreItem xmlns:ds="http://schemas.openxmlformats.org/officeDocument/2006/customXml" ds:itemID="{F1E4D5B5-C53F-4889-BE0C-EA0EFB6F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2078</Words>
  <Characters>11435</Characters>
  <Application>Microsoft Office Word</Application>
  <DocSecurity>0</DocSecurity>
  <PresentationFormat>Microsoft Word 14.0</PresentationFormat>
  <Lines>95</Lines>
  <Paragraphs>26</Paragraphs>
  <ScaleCrop>true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background</vt:lpstr>
      <vt:lpstr>Criteria for allocation of programmes to the Executive Agencies 2021-2027</vt:lpstr>
      <vt:lpstr>Proposal for future portfolios of Executive agencies </vt:lpstr>
      <vt:lpstr>Next steps in the preparation of the delegation package</vt:lpstr>
    </vt:vector>
  </TitlesOfParts>
  <Manager/>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2020-04-27T07:40:00Z</dcterms:created>
  <dcterms:modified xsi:type="dcterms:W3CDTF">2020-04-29T09:51:00Z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CP-002</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ContentTypeId">
    <vt:lpwstr>0x010100258AA79CEB83498886A3A0868112325000669F227D39A2BF4080ECD4A2A05E616B</vt:lpwstr>
  </property>
</Properties>
</file>